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F4A" w:rsidRPr="00E86F4A" w:rsidRDefault="00E86F4A" w:rsidP="00E86F4A">
      <w:pPr>
        <w:jc w:val="right"/>
        <w:rPr>
          <w:rFonts w:ascii="Cambria" w:hAnsi="Cambria"/>
          <w:b/>
        </w:rPr>
      </w:pPr>
      <w:r w:rsidRPr="00E86F4A">
        <w:rPr>
          <w:rFonts w:ascii="Cambria" w:hAnsi="Cambria"/>
          <w:b/>
        </w:rPr>
        <w:t xml:space="preserve">Załącznik nr </w:t>
      </w:r>
      <w:r w:rsidR="0080672C">
        <w:rPr>
          <w:rFonts w:ascii="Cambria" w:hAnsi="Cambria"/>
          <w:b/>
        </w:rPr>
        <w:t>6</w:t>
      </w:r>
      <w:r w:rsidRPr="00E86F4A">
        <w:rPr>
          <w:rFonts w:ascii="Cambria" w:hAnsi="Cambria"/>
          <w:b/>
        </w:rPr>
        <w:t xml:space="preserve"> do SWZ</w:t>
      </w:r>
    </w:p>
    <w:p w:rsidR="00F54094" w:rsidRDefault="00F54094" w:rsidP="00F54094">
      <w:pPr>
        <w:rPr>
          <w:rFonts w:ascii="Cambria" w:hAnsi="Cambria"/>
          <w:b/>
        </w:rPr>
      </w:pPr>
      <w:r w:rsidRPr="00E86F4A">
        <w:rPr>
          <w:rFonts w:ascii="Cambria" w:hAnsi="Cambria"/>
          <w:b/>
        </w:rPr>
        <w:t>Numer referencyjny:</w:t>
      </w:r>
      <w:r w:rsidR="004F25A3" w:rsidRPr="004F25A3">
        <w:rPr>
          <w:rFonts w:ascii="Arial" w:hAnsi="Arial" w:cs="Arial"/>
          <w:kern w:val="0"/>
          <w:sz w:val="24"/>
          <w:szCs w:val="24"/>
        </w:rPr>
        <w:t xml:space="preserve"> </w:t>
      </w:r>
      <w:r w:rsidR="004F25A3" w:rsidRPr="00AE5DFB">
        <w:rPr>
          <w:rFonts w:ascii="Cambria" w:hAnsi="Cambria"/>
          <w:b/>
          <w:color w:val="000000" w:themeColor="text1"/>
        </w:rPr>
        <w:t>PS.271.</w:t>
      </w:r>
      <w:r w:rsidR="00B800A2">
        <w:rPr>
          <w:rFonts w:ascii="Cambria" w:hAnsi="Cambria"/>
          <w:b/>
          <w:color w:val="000000" w:themeColor="text1"/>
        </w:rPr>
        <w:t>3</w:t>
      </w:r>
      <w:bookmarkStart w:id="0" w:name="_GoBack"/>
      <w:bookmarkEnd w:id="0"/>
      <w:r w:rsidR="004F25A3" w:rsidRPr="00AE5DFB">
        <w:rPr>
          <w:rFonts w:ascii="Cambria" w:hAnsi="Cambria"/>
          <w:b/>
          <w:color w:val="000000" w:themeColor="text1"/>
        </w:rPr>
        <w:t>.2026</w:t>
      </w:r>
    </w:p>
    <w:p w:rsidR="00E86F4A" w:rsidRDefault="00E86F4A" w:rsidP="00E86F4A">
      <w:pPr>
        <w:jc w:val="center"/>
      </w:pPr>
      <w:r w:rsidRPr="00CF6545">
        <w:rPr>
          <w:b/>
          <w:bCs/>
          <w:sz w:val="28"/>
          <w:szCs w:val="28"/>
        </w:rPr>
        <w:t>SZCZEGÓŁOWY OPIS PRZEDMIOTU ZAMÓWIENIA</w:t>
      </w:r>
    </w:p>
    <w:p w:rsidR="00E86F4A" w:rsidRPr="0080672C" w:rsidRDefault="001C58A8" w:rsidP="000F541D">
      <w:pPr>
        <w:pStyle w:val="Akapitzlist"/>
        <w:numPr>
          <w:ilvl w:val="0"/>
          <w:numId w:val="16"/>
        </w:numPr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 xml:space="preserve">Część </w:t>
      </w:r>
      <w:r w:rsidR="00A14874">
        <w:rPr>
          <w:rFonts w:ascii="Cambria" w:hAnsi="Cambria"/>
          <w:b/>
          <w:bCs/>
          <w:u w:val="single"/>
        </w:rPr>
        <w:t>1</w:t>
      </w:r>
      <w:r>
        <w:rPr>
          <w:rFonts w:ascii="Cambria" w:hAnsi="Cambria"/>
          <w:b/>
          <w:bCs/>
          <w:u w:val="single"/>
        </w:rPr>
        <w:t xml:space="preserve"> -</w:t>
      </w:r>
      <w:r w:rsidR="00A14874">
        <w:rPr>
          <w:rFonts w:ascii="Cambria" w:hAnsi="Cambria"/>
          <w:b/>
          <w:bCs/>
          <w:u w:val="single"/>
        </w:rPr>
        <w:t xml:space="preserve"> z</w:t>
      </w:r>
      <w:r w:rsidR="0080672C" w:rsidRPr="0080672C">
        <w:rPr>
          <w:rFonts w:ascii="Cambria" w:hAnsi="Cambria"/>
          <w:b/>
          <w:bCs/>
          <w:u w:val="single"/>
        </w:rPr>
        <w:t>adanie nr 1:</w:t>
      </w:r>
    </w:p>
    <w:p w:rsidR="00F401C4" w:rsidRPr="0080672C" w:rsidRDefault="00F401C4">
      <w:pPr>
        <w:rPr>
          <w:b/>
          <w:bCs/>
          <w:u w:val="single"/>
        </w:rPr>
      </w:pPr>
      <w:r w:rsidRPr="0080672C">
        <w:rPr>
          <w:b/>
          <w:bCs/>
          <w:u w:val="single"/>
        </w:rPr>
        <w:t>Zakup sprzętu w obszarze technicznym</w:t>
      </w:r>
    </w:p>
    <w:p w:rsidR="00D46766" w:rsidRPr="00D7594A" w:rsidRDefault="00D46766" w:rsidP="00D46766">
      <w:pPr>
        <w:pStyle w:val="Nagwek1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Serwer RACK Typ 1  – 1 szt.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496"/>
        <w:gridCol w:w="8571"/>
      </w:tblGrid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  <w:bCs/>
              </w:rPr>
            </w:pPr>
            <w:r w:rsidRPr="00D7594A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  <w:bCs/>
              </w:rPr>
            </w:pPr>
            <w:r w:rsidRPr="00D7594A">
              <w:rPr>
                <w:rFonts w:cstheme="minorHAnsi"/>
                <w:b/>
                <w:bCs/>
              </w:rPr>
              <w:t>Wymagania Minimalne</w:t>
            </w:r>
          </w:p>
        </w:tc>
      </w:tr>
      <w:tr w:rsidR="003C6ADD" w:rsidRPr="00D7594A" w:rsidTr="003C6ADD">
        <w:trPr>
          <w:trHeight w:val="70"/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Obudowa typu </w:t>
            </w:r>
            <w:proofErr w:type="spellStart"/>
            <w:r w:rsidRPr="00D7594A">
              <w:rPr>
                <w:rFonts w:cstheme="minorHAnsi"/>
              </w:rPr>
              <w:t>Rack</w:t>
            </w:r>
            <w:proofErr w:type="spellEnd"/>
            <w:r w:rsidRPr="00D7594A">
              <w:rPr>
                <w:rFonts w:cstheme="minorHAnsi"/>
              </w:rPr>
              <w:t xml:space="preserve"> o wysokości maksymalnie 2U w konfiguracji umożliwiającej instalację minimum 16 dysków twardych w standardzie 2,5”.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Komplet wysuwanych szyn i </w:t>
            </w:r>
            <w:proofErr w:type="spellStart"/>
            <w:r w:rsidRPr="00D7594A">
              <w:rPr>
                <w:rFonts w:cstheme="minorHAnsi"/>
              </w:rPr>
              <w:t>organizer</w:t>
            </w:r>
            <w:proofErr w:type="spellEnd"/>
            <w:r w:rsidRPr="00D7594A">
              <w:rPr>
                <w:rFonts w:cstheme="minorHAnsi"/>
              </w:rPr>
              <w:t xml:space="preserve"> okablowania, umożliwiający montaż w szafie </w:t>
            </w:r>
            <w:proofErr w:type="spellStart"/>
            <w:r w:rsidRPr="00D7594A">
              <w:rPr>
                <w:rFonts w:cstheme="minorHAnsi"/>
              </w:rPr>
              <w:t>rack</w:t>
            </w:r>
            <w:proofErr w:type="spellEnd"/>
            <w:r w:rsidRPr="00D7594A">
              <w:rPr>
                <w:rFonts w:cstheme="minorHAnsi"/>
              </w:rPr>
              <w:t xml:space="preserve"> i wysuwanie do celów serwisowych.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Zamykana na klucz osłona uniemożliwiająca fizyczny dostęp do zainstalowanych dysków twardych.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Płyta główna z możliwością zainstalowania maksymalnie jednego procesora.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Obsługa procesorów 144 rdzeniowych.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Płyta główna musi być zaprojektowana przez producenta serwera i oznaczona jego znakiem firmowym.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Na płycie głównej powinny znajdować się minimum 16 slotów przeznaczonych do instalacji pamięci.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Płyta główna powinna obsługiwać do 4TB pamięci RAM.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Chipset - dedykowany przez producenta procesora do pracy w systemach jednoprocesorowych.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Procesory - zainstalowany jeden procesor maksimum 16-rdzeniowy klasy x86 uzyskujący w teście „SPEC CPU2017 </w:t>
            </w:r>
            <w:proofErr w:type="spellStart"/>
            <w:r w:rsidRPr="00D7594A">
              <w:rPr>
                <w:rFonts w:cstheme="minorHAnsi"/>
              </w:rPr>
              <w:t>Floating</w:t>
            </w:r>
            <w:proofErr w:type="spellEnd"/>
            <w:r w:rsidRPr="00D7594A">
              <w:rPr>
                <w:rFonts w:cstheme="minorHAnsi"/>
              </w:rPr>
              <w:t xml:space="preserve"> Point </w:t>
            </w:r>
            <w:proofErr w:type="spellStart"/>
            <w:r w:rsidRPr="00D7594A">
              <w:rPr>
                <w:rFonts w:cstheme="minorHAnsi"/>
              </w:rPr>
              <w:t>Speed</w:t>
            </w:r>
            <w:proofErr w:type="spellEnd"/>
            <w:r w:rsidRPr="00D7594A">
              <w:rPr>
                <w:rFonts w:cstheme="minorHAnsi"/>
              </w:rPr>
              <w:t>” dostępnym na stronie www.spec.org dla konfiguracji z dwoma procesorami wyniku dla SPECspeed2017_fp_base  min. 195 punktów, dla oferowanego modelu serwera.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Do oferty należy załączyć wydruk ze strony potwierdzający osiągnięty wynik dla oferowanych procesorów.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Ilość rdzeni procesorów ograniczona ze względów licencyjnych wykorzystywanego przez Zamawiającego oprogramowania.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Pamięć RAM – minimum 128GB DDR5 RDIMM 6400MT/s,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Zabezpieczenia pamięci RAM – obsługa minimum ADDDC.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lastRenderedPageBreak/>
              <w:t>7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Gniazda PCI - minimum dwa </w:t>
            </w:r>
            <w:proofErr w:type="spellStart"/>
            <w:r w:rsidRPr="00D7594A">
              <w:rPr>
                <w:rFonts w:cstheme="minorHAnsi"/>
              </w:rPr>
              <w:t>sloty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PCIe</w:t>
            </w:r>
            <w:proofErr w:type="spellEnd"/>
            <w:r w:rsidRPr="00D7594A">
              <w:rPr>
                <w:rFonts w:cstheme="minorHAnsi"/>
              </w:rPr>
              <w:t xml:space="preserve"> x16 piątej generacji o pełnej wysokości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8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Kontroler RAID: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Sprzętowy kontroler dyskowy RAID, obsługujący następujące poziomy RAID : 0, 1.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Obsługa dysków 22.5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SAS, 12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SAS, and 6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SATA/SAS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9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Interfejsy sieciowe: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minimum 2 porty typu Ethernet 10Gbps RJ45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minimum 4 porty typu Ethernet 10/25Gbps SFP28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10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Przestrzeń dyskowa: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min. 2 dyski twarde 480GB SSD MU (zoptymalizowane dla mieszanych zastosowań)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11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Wbudowane porty: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minimum 1 porty USB 2.0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minimum 2 port USB 3.0,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- 1 port RJ45 dedykowany do zarządzania,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- 1 port VGA z tyłu serwera 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12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Video - zintegrowana karta graficzna umożliwiająca wyświetlenie rozdzielczości min. 1280x1024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13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Wentylatory – redundantne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14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Zasilacze - nadmiarowe, Hot-Plug, minimum 800W </w:t>
            </w:r>
            <w:proofErr w:type="spellStart"/>
            <w:r w:rsidRPr="00D7594A">
              <w:rPr>
                <w:rFonts w:cstheme="minorHAnsi"/>
              </w:rPr>
              <w:t>Titanium</w:t>
            </w:r>
            <w:proofErr w:type="spellEnd"/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15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Karta Zarządzania: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Niezależna od zainstalowanego systemu operacyjnego, zintegrowana z płyta główną, posiadająca minimalną funkcjonalność: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komunikacja poprzez interfejs RJ45,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podstawowe zarzadzanie poprzez protokół IPMI 2.0, DCMI 1.5, SNMP, VLAN </w:t>
            </w:r>
            <w:proofErr w:type="spellStart"/>
            <w:r w:rsidRPr="00D7594A">
              <w:rPr>
                <w:rFonts w:cstheme="minorHAnsi"/>
              </w:rPr>
              <w:t>tagging</w:t>
            </w:r>
            <w:proofErr w:type="spellEnd"/>
            <w:r w:rsidRPr="00D7594A">
              <w:rPr>
                <w:rFonts w:cstheme="minorHAnsi"/>
              </w:rPr>
              <w:t>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wbudowana diagnostyka,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dostęp poprzez interfejs graficzny Web karty oraz z linii poleceń,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monitorowanie temperatury oraz zużycia energii w czasie rzeczywistym,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lokalna oraz zdalna konfiguracja serwera,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wsparcie dla IPv4 i IPv6,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zdalnego dostępu do konsoli graficznej, zainstalowanego systemu operacyjnego serwera.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16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Certyfikaty: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•</w:t>
            </w:r>
            <w:r w:rsidRPr="00D7594A">
              <w:rPr>
                <w:rFonts w:cstheme="minorHAnsi"/>
              </w:rPr>
              <w:tab/>
              <w:t>Serwer musi być wyprodukowany zgodnie z normą ISO-9001:2015, ISO-50001 oraz ISO-14001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•</w:t>
            </w:r>
            <w:r w:rsidRPr="00D7594A">
              <w:rPr>
                <w:rFonts w:cstheme="minorHAnsi"/>
              </w:rPr>
              <w:tab/>
              <w:t>Serwer musi posiadać deklaracja CE.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•</w:t>
            </w:r>
            <w:r w:rsidRPr="00D7594A">
              <w:rPr>
                <w:rFonts w:cstheme="minorHAnsi"/>
              </w:rPr>
              <w:tab/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www.epeat.net potwierdzający spełnienie normy co najmniej </w:t>
            </w:r>
            <w:proofErr w:type="spellStart"/>
            <w:r w:rsidRPr="00D7594A">
              <w:rPr>
                <w:rFonts w:cstheme="minorHAnsi"/>
              </w:rPr>
              <w:t>Epeat</w:t>
            </w:r>
            <w:proofErr w:type="spellEnd"/>
            <w:r w:rsidRPr="00D7594A">
              <w:rPr>
                <w:rFonts w:cstheme="minorHAnsi"/>
              </w:rPr>
              <w:t xml:space="preserve"> Silver, dla kraju, w którym produkt będzie użytkowany, według normy wprowadzonej w 2019 roku - Wykonawca złoży dokument potwierdzający spełnianie wymogu.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17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Oferowane urządzenie musi znajdować się na liście kompatybilności Windows Server </w:t>
            </w:r>
            <w:proofErr w:type="spellStart"/>
            <w:r w:rsidRPr="00D7594A">
              <w:rPr>
                <w:rFonts w:cstheme="minorHAnsi"/>
              </w:rPr>
              <w:t>Catalog</w:t>
            </w:r>
            <w:proofErr w:type="spellEnd"/>
            <w:r w:rsidRPr="00D7594A">
              <w:rPr>
                <w:rFonts w:cstheme="minorHAnsi"/>
              </w:rPr>
              <w:t xml:space="preserve"> i posiadać status „</w:t>
            </w:r>
            <w:proofErr w:type="spellStart"/>
            <w:r w:rsidRPr="00D7594A">
              <w:rPr>
                <w:rFonts w:cstheme="minorHAnsi"/>
              </w:rPr>
              <w:t>Certified</w:t>
            </w:r>
            <w:proofErr w:type="spellEnd"/>
            <w:r w:rsidRPr="00D7594A">
              <w:rPr>
                <w:rFonts w:cstheme="minorHAnsi"/>
              </w:rPr>
              <w:t xml:space="preserve"> for Windows” dla systemów Microsoft Windows Server 2025, Microsoft Windows Server 2022.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18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systemu operacyjnego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Microsoft Windows Server 2025 Standard z opcją </w:t>
            </w:r>
            <w:proofErr w:type="spellStart"/>
            <w:r w:rsidRPr="00D7594A">
              <w:rPr>
                <w:rFonts w:cstheme="minorHAnsi"/>
              </w:rPr>
              <w:t>d</w:t>
            </w:r>
            <w:r>
              <w:rPr>
                <w:rFonts w:cstheme="minorHAnsi"/>
              </w:rPr>
              <w:t>o</w:t>
            </w:r>
            <w:r w:rsidRPr="00D7594A">
              <w:rPr>
                <w:rFonts w:cstheme="minorHAnsi"/>
              </w:rPr>
              <w:t>wngrade</w:t>
            </w:r>
            <w:proofErr w:type="spellEnd"/>
            <w:r w:rsidRPr="00D7594A">
              <w:rPr>
                <w:rFonts w:cstheme="minorHAnsi"/>
              </w:rPr>
              <w:t xml:space="preserve"> do wersji 2022 lub równoważne.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Licencje wieczyste zgodne z liczbą fizycznych rdzeni zainstalowanego procesora, umożliwiające legalne uruchomienie zaoferowanego oprogramowania systemu operacyjnego w 6 wirtualnych maszynach uruchomionych na oferowanym serwerze.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Opis równoważności znajduje się pod tabelą.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19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Dostarczone urządzenia muszą być fabrycznie nowe, nieregenerowane i wyprodukowane najwcześniej w ciągu ostatnich 6 miesięcy przed dostawą, muszą pochodzić z oficjalnego kanału sprzedaży producenta na teren Polski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20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Oferowane urządzenie musi być objęte co najmniej trzyletnią (3) gwarancją producenta  sprzętu w dni robocze, czas reakcji w miejscu instalacji sprzętu Następny Dzień Roboczy.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Serwis musi zawierać usługę pozostawiania bez opłat u Zamawiającego uszkodzonych dysków w okresie obowiązywania gwarancji.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Musi istnieć możliwość sprawdzenia na stronie WWW producenta serwera, prowadzonej w języku polskim, po podaniu numeru seryjnego urządzenia minimum: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okresu oraz poziomu gwarancji,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zainstalowanych komponentów (w tym m.in. procesorów, pamięci RAM, dysków, zasilaczy i kart komunikacyjnych).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Adres strony WWW producenta na której można sprawdzić powyższe dane musi być podany w złożonej ofercie.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21</w:t>
            </w:r>
          </w:p>
        </w:tc>
        <w:tc>
          <w:tcPr>
            <w:tcW w:w="8571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W zakresie wsparcia i gwarancji Zamawiający wymaga przestawienia oświadczenia producenta oferowanego urządzenia, wskazującego, że oferowane urządzenie będzie objęte serwisem producenta i/lub serwisem autoryzowanego serwisu producenta oraz, że uszkodzone dyski w przypadku wymiany z powodu awarii w okresie obowiązywania gwarancji, pozostaną własnością Zamawiającego. Niniejsze oświadczenie ma </w:t>
            </w:r>
            <w:r>
              <w:rPr>
                <w:rFonts w:cstheme="minorHAnsi"/>
              </w:rPr>
              <w:t>zostać dostarczone wraz z ofertą</w:t>
            </w:r>
            <w:r w:rsidRPr="00D7594A">
              <w:rPr>
                <w:rFonts w:cstheme="minorHAnsi"/>
              </w:rPr>
              <w:t>.</w:t>
            </w:r>
          </w:p>
        </w:tc>
      </w:tr>
    </w:tbl>
    <w:p w:rsidR="00D46766" w:rsidRPr="00D7594A" w:rsidRDefault="00D46766" w:rsidP="00D46766">
      <w:pPr>
        <w:spacing w:line="276" w:lineRule="auto"/>
        <w:rPr>
          <w:rFonts w:cstheme="minorHAnsi"/>
        </w:rPr>
      </w:pPr>
    </w:p>
    <w:p w:rsidR="00D46766" w:rsidRPr="00D7594A" w:rsidRDefault="00D46766" w:rsidP="00D46766">
      <w:pPr>
        <w:spacing w:line="276" w:lineRule="auto"/>
        <w:rPr>
          <w:rFonts w:cstheme="minorHAnsi"/>
        </w:rPr>
      </w:pP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Opis równoważności dla Oprogramowanie Systemu Operacyjnego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Współpraca z procesorami o architekturze x86-64.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Instalacja i użytkowanie aplikacji 32-bit. i 64-bit. na dostarczonym systemie operacyjnym.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Obsługa dostępu wielościeżkowego do zasobów LAN poprzez kontrolery Gigabit Ethernet, w trybie równoważenia obciążenia łącza (</w:t>
      </w:r>
      <w:proofErr w:type="spellStart"/>
      <w:r w:rsidRPr="00D7594A">
        <w:rPr>
          <w:rFonts w:eastAsia="TT19o00" w:cstheme="minorHAnsi"/>
        </w:rPr>
        <w:t>load</w:t>
      </w:r>
      <w:proofErr w:type="spellEnd"/>
      <w:r w:rsidRPr="00D7594A">
        <w:rPr>
          <w:rFonts w:eastAsia="TT19o00" w:cstheme="minorHAnsi"/>
        </w:rPr>
        <w:t xml:space="preserve"> </w:t>
      </w:r>
      <w:proofErr w:type="spellStart"/>
      <w:r w:rsidRPr="00D7594A">
        <w:rPr>
          <w:rFonts w:eastAsia="TT19o00" w:cstheme="minorHAnsi"/>
        </w:rPr>
        <w:t>balancing</w:t>
      </w:r>
      <w:proofErr w:type="spellEnd"/>
      <w:r w:rsidRPr="00D7594A">
        <w:rPr>
          <w:rFonts w:eastAsia="TT19o00" w:cstheme="minorHAnsi"/>
        </w:rPr>
        <w:t>) i redundancji łącza (</w:t>
      </w:r>
      <w:proofErr w:type="spellStart"/>
      <w:r w:rsidRPr="00D7594A">
        <w:rPr>
          <w:rFonts w:eastAsia="TT19o00" w:cstheme="minorHAnsi"/>
        </w:rPr>
        <w:t>failover</w:t>
      </w:r>
      <w:proofErr w:type="spellEnd"/>
      <w:r w:rsidRPr="00D7594A">
        <w:rPr>
          <w:rFonts w:eastAsia="TT19o00" w:cstheme="minorHAnsi"/>
        </w:rPr>
        <w:t>) – natywnie lub z wykorzystaniem sterowników producenta sprzętu.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Zawarta możliwość uruchomienia roli kontrolera domeny Microsoft Active Directory na poziomie minimum Microsoft Windows Server 2019.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Licencja musi uprawniać do uruchamiania wirtualnych środowisk serwerowego systemu operacyjnego za pomocą wbudowanych mechanizmów wirtualizacji.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migracji maszyn wirtualnych bez zatrzymywania ich pracy między fizycznymi serwerami z uruchomionym mechanizmem wirtualizacji (</w:t>
      </w:r>
      <w:proofErr w:type="spellStart"/>
      <w:r w:rsidRPr="00D7594A">
        <w:rPr>
          <w:rFonts w:eastAsia="TT19o00" w:cstheme="minorHAnsi"/>
        </w:rPr>
        <w:t>hypervisor</w:t>
      </w:r>
      <w:proofErr w:type="spellEnd"/>
      <w:r w:rsidRPr="00D7594A">
        <w:rPr>
          <w:rFonts w:eastAsia="TT19o00" w:cstheme="minorHAnsi"/>
        </w:rPr>
        <w:t>) przez sieć Ethernet, bez konieczności stosowania dodatkowych mechanizmów współdzielenia pamięci.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Automatyczna weryfikacja cyfrowych sygnatur sterowników w celu sprawdzenia, czy sterownik przeszedł testy jakości przeprowadzone przez producenta systemu operacyjnego.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Wbudowany mechanizm klasyfikowania i indeksowania plików (dokumentów) w oparciu o ich zawartość. Wbudowane szyfrowanie dysków przy pomocy mechanizmów posiadających certyfikat FIPS 140-2 lub równoważny wydany przez NIST lub inną agendę rządową zajmującą się bezpieczeństwem informacji.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uruchamianie aplikacji internetowych wykorzystujących technologię ASP.NET.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dystrybucji ruchu sieciowego HTTP pomiędzy kilka serwerów. Wbudowana zapora internetowa (firewall) z obsługą definiowanych reguł dla ochrony połączeń internetowych i intranetowych.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Graficzny interfejs użytkownika. Zlokalizowane w języku polskim, co najmniej następujące elementy: menu, przeglądarka internetowa, pomoc, komunikaty systemowe.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 xml:space="preserve">Wsparcie dla większości powszechnie używanych urządzeń peryferyjnych (drukarek, urządzeń sieciowych, standardów USB, </w:t>
      </w:r>
      <w:proofErr w:type="spellStart"/>
      <w:r w:rsidRPr="00D7594A">
        <w:rPr>
          <w:rFonts w:eastAsia="TT19o00" w:cstheme="minorHAnsi"/>
        </w:rPr>
        <w:t>Plug&amp;Play</w:t>
      </w:r>
      <w:proofErr w:type="spellEnd"/>
      <w:r w:rsidRPr="00D7594A">
        <w:rPr>
          <w:rFonts w:eastAsia="TT19o00" w:cstheme="minorHAnsi"/>
        </w:rPr>
        <w:t>).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zdalnej konfiguracji, administrowania oraz aktualizowania systemu.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 xml:space="preserve">Dostępność bezpłatnych narzędzi producenta systemu umożliwiających badanie i wdrażanie zdefiniowanego zestawu polityk bezpieczeństwa. Pochodzący od producenta systemu serwis zarządzania polityką konsumpcji informacji w dokumentach (Digital </w:t>
      </w:r>
      <w:proofErr w:type="spellStart"/>
      <w:r w:rsidRPr="00D7594A">
        <w:rPr>
          <w:rFonts w:eastAsia="TT19o00" w:cstheme="minorHAnsi"/>
        </w:rPr>
        <w:t>Rights</w:t>
      </w:r>
      <w:proofErr w:type="spellEnd"/>
      <w:r w:rsidRPr="00D7594A">
        <w:rPr>
          <w:rFonts w:eastAsia="TT19o00" w:cstheme="minorHAnsi"/>
        </w:rPr>
        <w:t xml:space="preserve"> Management).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implementacji następujących funkcjonalności bez potrzeby instalowania dodatkowych produktów (oprogramowania) innych producentów wymagających dodatkowych licencji: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Podstawowe usługi sieciowe: DHCP oraz DNS wspierający DNSSEC.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Usługi katalogowe oparte o LDAP i pozwalające na uwierzytelnianie użytkowników stacji roboczych, bez konieczności instalowania dodatkowego oprogramowania na tych stacjach,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Pozwalające na zarządzanie zasobami w sieci (użytkownicy, komputery, drukarki, udziały sieciowe.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Zdalna dystrybucja oprogramowania na stacje robocze.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Praca zdalna na serwerze z wykorzystaniem terminala (cienkiego klienta) lub odpowiednio skonfigurowanej stacji roboczej.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PKI (Centrum Certyfikatów (CA), obsługa klucza publicznego i prywatnego) umożliwiające:</w:t>
      </w:r>
    </w:p>
    <w:p w:rsidR="00D46766" w:rsidRPr="00D7594A" w:rsidRDefault="00D46766" w:rsidP="000F541D">
      <w:pPr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  <w:lang w:val="en-US"/>
        </w:rPr>
      </w:pPr>
      <w:proofErr w:type="spellStart"/>
      <w:r w:rsidRPr="00D7594A">
        <w:rPr>
          <w:rFonts w:eastAsia="TT19o00" w:cstheme="minorHAnsi"/>
          <w:lang w:val="en-US"/>
        </w:rPr>
        <w:t>Dystrybucję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certyfikatów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poprzez</w:t>
      </w:r>
      <w:proofErr w:type="spellEnd"/>
      <w:r w:rsidRPr="00D7594A">
        <w:rPr>
          <w:rFonts w:eastAsia="TT19o00" w:cstheme="minorHAnsi"/>
          <w:lang w:val="en-US"/>
        </w:rPr>
        <w:t xml:space="preserve"> http,</w:t>
      </w:r>
    </w:p>
    <w:p w:rsidR="00D46766" w:rsidRPr="00D7594A" w:rsidRDefault="00D46766" w:rsidP="000F541D">
      <w:pPr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Konsolidację CA dla wielu lasów domeny,</w:t>
      </w:r>
    </w:p>
    <w:p w:rsidR="00D46766" w:rsidRPr="00D7594A" w:rsidRDefault="00D46766" w:rsidP="000F541D">
      <w:pPr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Automatyczne rejestrowania certyfikatów pomiędzy rożnymi lasami domen.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  <w:lang w:val="en-US"/>
        </w:rPr>
      </w:pPr>
      <w:proofErr w:type="spellStart"/>
      <w:r w:rsidRPr="00D7594A">
        <w:rPr>
          <w:rFonts w:eastAsia="TT19o00" w:cstheme="minorHAnsi"/>
          <w:lang w:val="en-US"/>
        </w:rPr>
        <w:t>Szyfrowanie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plików</w:t>
      </w:r>
      <w:proofErr w:type="spellEnd"/>
      <w:r w:rsidRPr="00D7594A">
        <w:rPr>
          <w:rFonts w:eastAsia="TT19o00" w:cstheme="minorHAnsi"/>
          <w:lang w:val="en-US"/>
        </w:rPr>
        <w:t xml:space="preserve"> i </w:t>
      </w:r>
      <w:proofErr w:type="spellStart"/>
      <w:r w:rsidRPr="00D7594A">
        <w:rPr>
          <w:rFonts w:eastAsia="TT19o00" w:cstheme="minorHAnsi"/>
          <w:lang w:val="en-US"/>
        </w:rPr>
        <w:t>folderów</w:t>
      </w:r>
      <w:proofErr w:type="spellEnd"/>
      <w:r w:rsidRPr="00D7594A">
        <w:rPr>
          <w:rFonts w:eastAsia="TT19o00" w:cstheme="minorHAnsi"/>
          <w:lang w:val="en-US"/>
        </w:rPr>
        <w:t>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Szyfrowanie połączeń sieciowych pomiędzy serwerami oraz serwerami i stacjami roboczymi (</w:t>
      </w:r>
      <w:proofErr w:type="spellStart"/>
      <w:r w:rsidRPr="00D7594A">
        <w:rPr>
          <w:rFonts w:eastAsia="TT19o00" w:cstheme="minorHAnsi"/>
        </w:rPr>
        <w:t>IPSec</w:t>
      </w:r>
      <w:proofErr w:type="spellEnd"/>
      <w:r w:rsidRPr="00D7594A">
        <w:rPr>
          <w:rFonts w:eastAsia="TT19o00" w:cstheme="minorHAnsi"/>
        </w:rPr>
        <w:t>).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  <w:lang w:val="en-US"/>
        </w:rPr>
      </w:pPr>
      <w:proofErr w:type="spellStart"/>
      <w:r w:rsidRPr="00D7594A">
        <w:rPr>
          <w:rFonts w:eastAsia="TT19o00" w:cstheme="minorHAnsi"/>
          <w:lang w:val="en-US"/>
        </w:rPr>
        <w:t>Serwis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udostępniania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stron</w:t>
      </w:r>
      <w:proofErr w:type="spellEnd"/>
      <w:r w:rsidRPr="00D7594A">
        <w:rPr>
          <w:rFonts w:eastAsia="TT19o00" w:cstheme="minorHAnsi"/>
          <w:lang w:val="en-US"/>
        </w:rPr>
        <w:t xml:space="preserve"> WWW.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Wsparcie dla protokołu IP w wersji 6 (IPv6).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Wbudowane usługi VPN pozwalające na zestawienie nielimitowanej liczby równoczesnych połączeń i niewymagające instalacji dodatkowego oprogramowania na komputerach z systemem Windows.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automatycznej aktualizacji w oparciu o poprawki publikowane przez producenta wraz z dostępnością bezpłatnego rozwiązania producenta SSO umożliwiającego lokalną dystrybucję poprawek zatwierdzonych przez administratora, bez połączenia z siecią Internet.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Wsparcie dostępu do zasobu dyskowego SSO poprzez wiele ścieżek (</w:t>
      </w:r>
      <w:proofErr w:type="spellStart"/>
      <w:r w:rsidRPr="00D7594A">
        <w:rPr>
          <w:rFonts w:eastAsia="TT19o00" w:cstheme="minorHAnsi"/>
        </w:rPr>
        <w:t>Multipath</w:t>
      </w:r>
      <w:proofErr w:type="spellEnd"/>
      <w:r w:rsidRPr="00D7594A">
        <w:rPr>
          <w:rFonts w:eastAsia="TT19o00" w:cstheme="minorHAnsi"/>
        </w:rPr>
        <w:t>).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instalacji poprawek poprzez wgranie ich do obrazu instalacyjnego. Mechanizmy zdalnej administracji oraz mechanizmy (również działające zdalnie) administracji przez skrypty.</w:t>
      </w:r>
    </w:p>
    <w:p w:rsidR="00D46766" w:rsidRPr="00D7594A" w:rsidRDefault="00D46766" w:rsidP="000F541D">
      <w:pPr>
        <w:numPr>
          <w:ilvl w:val="1"/>
          <w:numId w:val="17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zarządzania przez wbudowane mechanizmy zgodne ze standardami WBEM oraz WS-Management organizacji DMTF; W przypadku zaoferowania przez Wykonawcę rozwiązania równoważnego, Wykonawca jest zobowiązany do pokrycia wszelkich możliwych kosztów, wymaganych w czasie wdrożenia oferowanego rozwiązania, w szczególności związanych z dostosowaniem infrastruktury informatycznej, oprogramowania nią zarządzającego, systemowego i narzędziowego (licencje, wdrożenie), serwisu gwarancyjnego oraz kosztów certyfikowanych szkoleń dla administratorów i użytkowników oferowanego rozwiązania.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D46766">
      <w:pPr>
        <w:pStyle w:val="Nagwek1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Serwer RACK Typ 2  – 1 szt.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8288"/>
      </w:tblGrid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  <w:bCs/>
              </w:rPr>
            </w:pPr>
            <w:r w:rsidRPr="00D7594A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  <w:bCs/>
              </w:rPr>
            </w:pPr>
            <w:r w:rsidRPr="00D7594A">
              <w:rPr>
                <w:rFonts w:cstheme="minorHAnsi"/>
                <w:b/>
                <w:bCs/>
              </w:rPr>
              <w:t>Wymagania Minimalne</w:t>
            </w:r>
          </w:p>
        </w:tc>
      </w:tr>
      <w:tr w:rsidR="003C6ADD" w:rsidRPr="00D7594A" w:rsidTr="003C6ADD">
        <w:trPr>
          <w:trHeight w:val="70"/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Obudowa typu </w:t>
            </w:r>
            <w:proofErr w:type="spellStart"/>
            <w:r w:rsidRPr="00D7594A">
              <w:rPr>
                <w:rFonts w:cstheme="minorHAnsi"/>
              </w:rPr>
              <w:t>Rack</w:t>
            </w:r>
            <w:proofErr w:type="spellEnd"/>
            <w:r w:rsidRPr="00D7594A">
              <w:rPr>
                <w:rFonts w:cstheme="minorHAnsi"/>
              </w:rPr>
              <w:t xml:space="preserve"> o wysokości maksymalnie 2U w konfiguracji umożliwiającej instalację minimum 12 dysków twardych w standardzie 3,5”.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Komplet wysuwanych szyn i </w:t>
            </w:r>
            <w:proofErr w:type="spellStart"/>
            <w:r w:rsidRPr="00D7594A">
              <w:rPr>
                <w:rFonts w:cstheme="minorHAnsi"/>
              </w:rPr>
              <w:t>organizer</w:t>
            </w:r>
            <w:proofErr w:type="spellEnd"/>
            <w:r w:rsidRPr="00D7594A">
              <w:rPr>
                <w:rFonts w:cstheme="minorHAnsi"/>
              </w:rPr>
              <w:t xml:space="preserve"> okablowania, umożliwiający montaż w szafie </w:t>
            </w:r>
            <w:proofErr w:type="spellStart"/>
            <w:r w:rsidRPr="00D7594A">
              <w:rPr>
                <w:rFonts w:cstheme="minorHAnsi"/>
              </w:rPr>
              <w:t>rack</w:t>
            </w:r>
            <w:proofErr w:type="spellEnd"/>
            <w:r w:rsidRPr="00D7594A">
              <w:rPr>
                <w:rFonts w:cstheme="minorHAnsi"/>
              </w:rPr>
              <w:t xml:space="preserve"> i wysuwanie do celów serwisowych.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Zamykana na klucz osłona uniemożliwiająca fizyczny dostęp do zainstalowanych dysków twardych.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Płyta główna z możliwością zainstalowania maksymalnie jednego procesora.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Obsługa procesorów 144 rdzeniowych.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Płyta główna musi być zaprojektowana przez producenta serwera i oznaczona jego znakiem firmowym.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Na płycie głównej powinny znajdować się minimum 16 slotów przeznaczonych do instalacji pamięci.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Płyta główna powinna obsługiwać do 4TB pamięci RAM.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Chipset - dedykowany przez producenta procesora do pracy w systemach jednoprocesorowych.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Procesory - zainstalowany jeden procesor maksimum 16-rdzeniowy klasy x86 uzyskujący w teście „SPEC CPU2017 </w:t>
            </w:r>
            <w:proofErr w:type="spellStart"/>
            <w:r w:rsidRPr="00D7594A">
              <w:rPr>
                <w:rFonts w:cstheme="minorHAnsi"/>
              </w:rPr>
              <w:t>Floating</w:t>
            </w:r>
            <w:proofErr w:type="spellEnd"/>
            <w:r w:rsidRPr="00D7594A">
              <w:rPr>
                <w:rFonts w:cstheme="minorHAnsi"/>
              </w:rPr>
              <w:t xml:space="preserve"> Point </w:t>
            </w:r>
            <w:proofErr w:type="spellStart"/>
            <w:r w:rsidRPr="00D7594A">
              <w:rPr>
                <w:rFonts w:cstheme="minorHAnsi"/>
              </w:rPr>
              <w:t>Speed</w:t>
            </w:r>
            <w:proofErr w:type="spellEnd"/>
            <w:r w:rsidRPr="00D7594A">
              <w:rPr>
                <w:rFonts w:cstheme="minorHAnsi"/>
              </w:rPr>
              <w:t>” dostępnym na stronie www.spec.org dla konfiguracji z dwoma procesorami wyniku dla SPECspeed2017_fp_base  min. 196 punktów, dla oferowanego modelu serwera.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Do oferty należy załączyć wydruk ze strony potwierdzający osiągnięty wynik dla oferowanych procesorów.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Ilość rdzeni procesorów ograniczona ze względów licencyjnych wykorzystywanego przez Zamawiającego oprogramowania.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Pamięć RAM – minimum 64GB DDR5 RDIMM 6400MT/s,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Zabezpieczenia pamięci RAM – obsługa minimum ADDDC.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7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Gniazda PCI - minimum trzy </w:t>
            </w:r>
            <w:proofErr w:type="spellStart"/>
            <w:r w:rsidRPr="00D7594A">
              <w:rPr>
                <w:rFonts w:cstheme="minorHAnsi"/>
              </w:rPr>
              <w:t>sloty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PCIe</w:t>
            </w:r>
            <w:proofErr w:type="spellEnd"/>
            <w:r w:rsidRPr="00D7594A">
              <w:rPr>
                <w:rFonts w:cstheme="minorHAnsi"/>
              </w:rPr>
              <w:t xml:space="preserve"> x16 piątej generacji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8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Kontroler RAID: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Sprzętowy kontroler dyskowy RAID z min. 4 GB pamięci cache, obsługujący następujące poziomy RAID : 0, 1, 5 ,6.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Obsługa dysków 22.5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SAS, 12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SAS, and 6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SATA/SAS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Kontrolery HBA: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minimum 4 zewnętrzne porty SAS 12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9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Interfejsy sieciowe: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minimum 2 porty typu Ethernet 10Gbps RJ45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10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Przestrzeń dyskowa: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min. 2 dyski twarde 480GB SSD MU (zoptymalizowane dla mieszanych zastosowań)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min. 7 dysków twardych o pojemności 8TB SATA, każdy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11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Wbudowane porty: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minimum 1 porty USB 2.0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minimum 2 port USB 3.0,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- 1 port RJ45 dedykowany do zarządzania,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- 1 port VGA z tyłu serwera 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12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Video - zintegrowana karta graficzna umożliwiająca wyświetlenie rozdzielczości min. 1280x1024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13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Wentylatory – redundantne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14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Zasilacze - nadmiarowe, Hot-Plug, minimum 1500W </w:t>
            </w:r>
            <w:proofErr w:type="spellStart"/>
            <w:r w:rsidRPr="00D7594A">
              <w:rPr>
                <w:rFonts w:cstheme="minorHAnsi"/>
              </w:rPr>
              <w:t>Titanium</w:t>
            </w:r>
            <w:proofErr w:type="spellEnd"/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15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Karta Zarządzania: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Niezależna od zainstalowanego systemu operacyjnego, zintegrowana z płyta główną, posiadająca minimalną funkcjonalność: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komunikacja poprzez interfejs RJ45,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podstawowe zarzadzanie poprzez protokół IPMI 2.0, DCMI 1.5, SNMP, VLAN </w:t>
            </w:r>
            <w:proofErr w:type="spellStart"/>
            <w:r w:rsidRPr="00D7594A">
              <w:rPr>
                <w:rFonts w:cstheme="minorHAnsi"/>
              </w:rPr>
              <w:t>tagging</w:t>
            </w:r>
            <w:proofErr w:type="spellEnd"/>
            <w:r w:rsidRPr="00D7594A">
              <w:rPr>
                <w:rFonts w:cstheme="minorHAnsi"/>
              </w:rPr>
              <w:t>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wbudowana diagnostyka,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dostęp poprzez interfejs graficzny Web karty oraz z linii poleceń,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monitorowanie temperatury oraz zużycia energii w czasie rzeczywistym,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lokalna oraz zdalna konfiguracja serwera,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wsparcie dla IPv4 i IPv6,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zdalnego dostępu do konsoli graficznej, zainstalowanego systemu operacyjnego serwera.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16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Certyfikaty: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•</w:t>
            </w:r>
            <w:r w:rsidRPr="00D7594A">
              <w:rPr>
                <w:rFonts w:cstheme="minorHAnsi"/>
              </w:rPr>
              <w:tab/>
              <w:t>Serwer musi być wyprodukowany zgodnie z normą ISO-9001:2015, ISO-50001 oraz ISO-14001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•</w:t>
            </w:r>
            <w:r w:rsidRPr="00D7594A">
              <w:rPr>
                <w:rFonts w:cstheme="minorHAnsi"/>
              </w:rPr>
              <w:tab/>
              <w:t>Serwer musi posiadać deklaracja CE.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•</w:t>
            </w:r>
            <w:r w:rsidRPr="00D7594A">
              <w:rPr>
                <w:rFonts w:cstheme="minorHAnsi"/>
              </w:rPr>
              <w:tab/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www.epeat.net potwierdzający spełnienie normy co najmniej </w:t>
            </w:r>
            <w:proofErr w:type="spellStart"/>
            <w:r w:rsidRPr="00D7594A">
              <w:rPr>
                <w:rFonts w:cstheme="minorHAnsi"/>
              </w:rPr>
              <w:t>Epeat</w:t>
            </w:r>
            <w:proofErr w:type="spellEnd"/>
            <w:r w:rsidRPr="00D7594A">
              <w:rPr>
                <w:rFonts w:cstheme="minorHAnsi"/>
              </w:rPr>
              <w:t xml:space="preserve"> Silver, dla kraju, w którym produkt będzie użytkowany, według normy wprowadzonej w 2019 roku - Wykonawca złoży dokument potwierdzający spełnianie wymogu.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17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Oferowane urządzenie musi znajdować się na liście kompatybilności Windows Server </w:t>
            </w:r>
            <w:proofErr w:type="spellStart"/>
            <w:r w:rsidRPr="00D7594A">
              <w:rPr>
                <w:rFonts w:cstheme="minorHAnsi"/>
              </w:rPr>
              <w:t>Catalog</w:t>
            </w:r>
            <w:proofErr w:type="spellEnd"/>
            <w:r w:rsidRPr="00D7594A">
              <w:rPr>
                <w:rFonts w:cstheme="minorHAnsi"/>
              </w:rPr>
              <w:t xml:space="preserve"> i posiadać status „</w:t>
            </w:r>
            <w:proofErr w:type="spellStart"/>
            <w:r w:rsidRPr="00D7594A">
              <w:rPr>
                <w:rFonts w:cstheme="minorHAnsi"/>
              </w:rPr>
              <w:t>Certified</w:t>
            </w:r>
            <w:proofErr w:type="spellEnd"/>
            <w:r w:rsidRPr="00D7594A">
              <w:rPr>
                <w:rFonts w:cstheme="minorHAnsi"/>
              </w:rPr>
              <w:t xml:space="preserve"> for Windows” dla systemów Microsoft Windows Server 2025, Microsoft Windows Server 2022.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18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systemu operacyjnego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Microsoft Windows Server 2025 Standard z opcją </w:t>
            </w:r>
            <w:proofErr w:type="spellStart"/>
            <w:r w:rsidRPr="00D7594A">
              <w:rPr>
                <w:rFonts w:cstheme="minorHAnsi"/>
              </w:rPr>
              <w:t>d</w:t>
            </w:r>
            <w:r>
              <w:rPr>
                <w:rFonts w:cstheme="minorHAnsi"/>
              </w:rPr>
              <w:t>o</w:t>
            </w:r>
            <w:r w:rsidRPr="00D7594A">
              <w:rPr>
                <w:rFonts w:cstheme="minorHAnsi"/>
              </w:rPr>
              <w:t>wngrade</w:t>
            </w:r>
            <w:proofErr w:type="spellEnd"/>
            <w:r w:rsidRPr="00D7594A">
              <w:rPr>
                <w:rFonts w:cstheme="minorHAnsi"/>
              </w:rPr>
              <w:t xml:space="preserve"> do wersji 2022 lub równoważne.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Licencje wieczyste zgodne z liczbą fizycznych rdzeni zainstalowanego procesora, umożliwiające legalne uruchomienie zaoferowanego oprogramowania systemu operacyjnego na oferowanym serwerze.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Opis równoważności znajduje się pod tabelą.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19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Dostarczone urządzenia muszą być fabrycznie nowe, nieregenerowane i wyprodukowane najwcześniej w ciągu ostatnich 6 miesięcy przed dostawą, muszą pochodzić z oficjalnego kanału sprzedaży producenta na teren Polski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20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Oferowane urządzenie musi być objęte co najmniej trzyletnią (3) gwarancją producenta  sprzętu w dni robocze, czas reakcji w miejscu instalacji sprzętu Następny Dzień Roboczy.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Serwis musi zawierać usługę pozostawiania bez opłat u Zamawiającego uszkodzonych dysków w okresie obowiązywania gwarancji.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Musi istnieć możliwość sprawdzenia na stronie WWW producenta serwera, prowadzonej w języku polskim, po podaniu numeru seryjnego urządzenia minimum: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okresu oraz poziomu gwarancji, 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zainstalowanych komponentów (w tym m.in. procesorów, pamięci RAM, dysków, zasilaczy i kart komunikacyjnych).</w:t>
            </w:r>
          </w:p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Adres strony WWW producenta na której można sprawdzić powyższe dane musi być podany w złożonej ofercie.</w:t>
            </w:r>
          </w:p>
        </w:tc>
      </w:tr>
      <w:tr w:rsidR="003C6ADD" w:rsidRPr="00D7594A" w:rsidTr="003C6ADD">
        <w:trPr>
          <w:jc w:val="center"/>
        </w:trPr>
        <w:tc>
          <w:tcPr>
            <w:tcW w:w="496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21</w:t>
            </w:r>
          </w:p>
        </w:tc>
        <w:tc>
          <w:tcPr>
            <w:tcW w:w="8288" w:type="dxa"/>
            <w:vAlign w:val="center"/>
          </w:tcPr>
          <w:p w:rsidR="003C6ADD" w:rsidRPr="00D7594A" w:rsidRDefault="003C6ADD" w:rsidP="002E716A">
            <w:pPr>
              <w:spacing w:before="12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W zakresie wsparcia i gwarancji Zamawiający wymaga przestawienia oświadczenia producenta oferowanego urządzenia, wskazującego, że oferowane urządzenie będzie objęte serwisem producenta i/lub serwisem autoryzowanego serwisu producenta oraz, że uszkodzone dyski w przypadku wymiany z powodu awarii w okresie obowiązywania gwarancji, pozostaną własnością Zamawiającego. Niniejsze oświadczenie ma zostać dostarczone wraz z ofertą.</w:t>
            </w:r>
          </w:p>
        </w:tc>
      </w:tr>
    </w:tbl>
    <w:p w:rsidR="00D46766" w:rsidRPr="00D7594A" w:rsidRDefault="00D46766" w:rsidP="00D46766">
      <w:pPr>
        <w:spacing w:line="276" w:lineRule="auto"/>
        <w:rPr>
          <w:rFonts w:cstheme="minorHAnsi"/>
        </w:rPr>
      </w:pPr>
    </w:p>
    <w:p w:rsidR="00D46766" w:rsidRPr="00D7594A" w:rsidRDefault="00D46766" w:rsidP="00D46766">
      <w:pPr>
        <w:spacing w:line="276" w:lineRule="auto"/>
        <w:rPr>
          <w:rFonts w:cstheme="minorHAnsi"/>
        </w:rPr>
      </w:pP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Opis równoważności dla Oprogramowanie systemu operacyjnego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Współpraca z procesorami o architekturze x86-64.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Instalacja i użytkowanie aplikacji 32-bit. i 64-bit. na dostarczonym systemie operacyjnym.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Obsługa dostępu wielościeżkowego do zasobów LAN poprzez kontrolery Gigabit Ethernet, w trybie równoważenia obciążenia łącza (</w:t>
      </w:r>
      <w:proofErr w:type="spellStart"/>
      <w:r w:rsidRPr="00D7594A">
        <w:rPr>
          <w:rFonts w:eastAsia="TT19o00" w:cstheme="minorHAnsi"/>
        </w:rPr>
        <w:t>load</w:t>
      </w:r>
      <w:proofErr w:type="spellEnd"/>
      <w:r w:rsidRPr="00D7594A">
        <w:rPr>
          <w:rFonts w:eastAsia="TT19o00" w:cstheme="minorHAnsi"/>
        </w:rPr>
        <w:t xml:space="preserve"> </w:t>
      </w:r>
      <w:proofErr w:type="spellStart"/>
      <w:r w:rsidRPr="00D7594A">
        <w:rPr>
          <w:rFonts w:eastAsia="TT19o00" w:cstheme="minorHAnsi"/>
        </w:rPr>
        <w:t>balancing</w:t>
      </w:r>
      <w:proofErr w:type="spellEnd"/>
      <w:r w:rsidRPr="00D7594A">
        <w:rPr>
          <w:rFonts w:eastAsia="TT19o00" w:cstheme="minorHAnsi"/>
        </w:rPr>
        <w:t>) i redundancji łącza (</w:t>
      </w:r>
      <w:proofErr w:type="spellStart"/>
      <w:r w:rsidRPr="00D7594A">
        <w:rPr>
          <w:rFonts w:eastAsia="TT19o00" w:cstheme="minorHAnsi"/>
        </w:rPr>
        <w:t>failover</w:t>
      </w:r>
      <w:proofErr w:type="spellEnd"/>
      <w:r w:rsidRPr="00D7594A">
        <w:rPr>
          <w:rFonts w:eastAsia="TT19o00" w:cstheme="minorHAnsi"/>
        </w:rPr>
        <w:t>) – natywnie lub z wykorzystaniem sterowników producenta sprzętu.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Zawarta możliwość uruchomienia roli kontrolera domeny Microsoft Active Directory na poziomie minimum Microsoft Windows Server 2019.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Licencja musi uprawniać do uruchamiania wirtualnych środowisk serwerowego systemu operacyjnego za pomocą wbudowanych mechanizmów wirtualizacji.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migracji maszyn wirtualnych bez zatrzymywania ich pracy między fizycznymi serwerami z uruchomionym mechanizmem wirtualizacji (</w:t>
      </w:r>
      <w:proofErr w:type="spellStart"/>
      <w:r w:rsidRPr="00D7594A">
        <w:rPr>
          <w:rFonts w:eastAsia="TT19o00" w:cstheme="minorHAnsi"/>
        </w:rPr>
        <w:t>hypervisor</w:t>
      </w:r>
      <w:proofErr w:type="spellEnd"/>
      <w:r w:rsidRPr="00D7594A">
        <w:rPr>
          <w:rFonts w:eastAsia="TT19o00" w:cstheme="minorHAnsi"/>
        </w:rPr>
        <w:t>) przez sieć Ethernet, bez konieczności stosowania dodatkowych mechanizmów współdzielenia pamięci.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Automatyczna weryfikacja cyfrowych sygnatur sterowników w celu sprawdzenia, czy sterownik przeszedł testy jakości przeprowadzone przez producenta systemu operacyjnego.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Wbudowany mechanizm klasyfikowania i indeksowania plików (dokumentów) w oparciu o ich zawartość. Wbudowane szyfrowanie dysków przy pomocy mechanizmów posiadających certyfikat FIPS 140-2 lub równoważny wydany przez NIST lub inną agendę rządową zajmującą się bezpieczeństwem informacji.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uruchamianie aplikacji internetowych wykorzystujących technologię ASP.NET.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dystrybucji ruchu sieciowego HTTP pomiędzy kilka serwerów. Wbudowana zapora internetowa (firewall) z obsługą definiowanych reguł dla ochrony połączeń internetowych i intranetowych.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Graficzny interfejs użytkownika. Zlokalizowane w języku polskim, co najmniej następujące elementy: menu, przeglądarka internetowa, pomoc, komunikaty systemowe.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 xml:space="preserve">Wsparcie dla większości powszechnie używanych urządzeń peryferyjnych (drukarek, urządzeń sieciowych, standardów USB, </w:t>
      </w:r>
      <w:proofErr w:type="spellStart"/>
      <w:r w:rsidRPr="00D7594A">
        <w:rPr>
          <w:rFonts w:eastAsia="TT19o00" w:cstheme="minorHAnsi"/>
        </w:rPr>
        <w:t>Plug&amp;Play</w:t>
      </w:r>
      <w:proofErr w:type="spellEnd"/>
      <w:r w:rsidRPr="00D7594A">
        <w:rPr>
          <w:rFonts w:eastAsia="TT19o00" w:cstheme="minorHAnsi"/>
        </w:rPr>
        <w:t>).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zdalnej konfiguracji, administrowania oraz aktualizowania systemu.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 xml:space="preserve">Dostępność bezpłatnych narzędzi producenta systemu umożliwiających badanie i wdrażanie zdefiniowanego zestawu polityk bezpieczeństwa. Pochodzący od producenta systemu serwis zarządzania polityką konsumpcji informacji w dokumentach (Digital </w:t>
      </w:r>
      <w:proofErr w:type="spellStart"/>
      <w:r w:rsidRPr="00D7594A">
        <w:rPr>
          <w:rFonts w:eastAsia="TT19o00" w:cstheme="minorHAnsi"/>
        </w:rPr>
        <w:t>Rights</w:t>
      </w:r>
      <w:proofErr w:type="spellEnd"/>
      <w:r w:rsidRPr="00D7594A">
        <w:rPr>
          <w:rFonts w:eastAsia="TT19o00" w:cstheme="minorHAnsi"/>
        </w:rPr>
        <w:t xml:space="preserve"> Management).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implementacji następujących funkcjonalności bez potrzeby instalowania dodatkowych produktów (oprogramowania) innych producentów wymagających dodatkowych licencji: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Podstawowe usługi sieciowe: DHCP oraz DNS wspierający DNSSEC.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Usługi katalogowe oparte o LDAP i pozwalające na uwierzytelnianie użytkowników stacji roboczych, bez konieczności instalowania dodatkowego oprogramowania na tych stacjach,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Pozwalające na zarządzanie zasobami w sieci (użytkownicy, komputery, drukarki, udziały sieciowe.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Zdalna dystrybucja oprogramowania na stacje robocze.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Praca zdalna na serwerze z wykorzystaniem terminala (cienkiego klienta) lub odpowiednio skonfigurowanej stacji roboczej.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PKI (Centrum Certyfikatów (CA), obsługa klucza publicznego i prywatnego) umożliwiające:</w:t>
      </w:r>
    </w:p>
    <w:p w:rsidR="00D46766" w:rsidRPr="00D7594A" w:rsidRDefault="00D46766" w:rsidP="000F541D">
      <w:pPr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  <w:lang w:val="en-US"/>
        </w:rPr>
      </w:pPr>
      <w:proofErr w:type="spellStart"/>
      <w:r w:rsidRPr="00D7594A">
        <w:rPr>
          <w:rFonts w:eastAsia="TT19o00" w:cstheme="minorHAnsi"/>
          <w:lang w:val="en-US"/>
        </w:rPr>
        <w:t>Dystrybucję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certyfikatów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poprzez</w:t>
      </w:r>
      <w:proofErr w:type="spellEnd"/>
      <w:r w:rsidRPr="00D7594A">
        <w:rPr>
          <w:rFonts w:eastAsia="TT19o00" w:cstheme="minorHAnsi"/>
          <w:lang w:val="en-US"/>
        </w:rPr>
        <w:t xml:space="preserve"> http,</w:t>
      </w:r>
    </w:p>
    <w:p w:rsidR="00D46766" w:rsidRPr="00D7594A" w:rsidRDefault="00D46766" w:rsidP="000F541D">
      <w:pPr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Konsolidację CA dla wielu lasów domeny,</w:t>
      </w:r>
    </w:p>
    <w:p w:rsidR="00D46766" w:rsidRPr="00D7594A" w:rsidRDefault="00D46766" w:rsidP="000F541D">
      <w:pPr>
        <w:numPr>
          <w:ilvl w:val="1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Automatyczne rejestrowania certyfikatów pomiędzy rożnymi lasami domen.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  <w:lang w:val="en-US"/>
        </w:rPr>
      </w:pPr>
      <w:proofErr w:type="spellStart"/>
      <w:r w:rsidRPr="00D7594A">
        <w:rPr>
          <w:rFonts w:eastAsia="TT19o00" w:cstheme="minorHAnsi"/>
          <w:lang w:val="en-US"/>
        </w:rPr>
        <w:t>Szyfrowanie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plików</w:t>
      </w:r>
      <w:proofErr w:type="spellEnd"/>
      <w:r w:rsidRPr="00D7594A">
        <w:rPr>
          <w:rFonts w:eastAsia="TT19o00" w:cstheme="minorHAnsi"/>
          <w:lang w:val="en-US"/>
        </w:rPr>
        <w:t xml:space="preserve"> i </w:t>
      </w:r>
      <w:proofErr w:type="spellStart"/>
      <w:r w:rsidRPr="00D7594A">
        <w:rPr>
          <w:rFonts w:eastAsia="TT19o00" w:cstheme="minorHAnsi"/>
          <w:lang w:val="en-US"/>
        </w:rPr>
        <w:t>folderów</w:t>
      </w:r>
      <w:proofErr w:type="spellEnd"/>
      <w:r w:rsidRPr="00D7594A">
        <w:rPr>
          <w:rFonts w:eastAsia="TT19o00" w:cstheme="minorHAnsi"/>
          <w:lang w:val="en-US"/>
        </w:rPr>
        <w:t>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Szyfrowanie połączeń sieciowych pomiędzy serwerami oraz serwerami i stacjami roboczymi (</w:t>
      </w:r>
      <w:proofErr w:type="spellStart"/>
      <w:r w:rsidRPr="00D7594A">
        <w:rPr>
          <w:rFonts w:eastAsia="TT19o00" w:cstheme="minorHAnsi"/>
        </w:rPr>
        <w:t>IPSec</w:t>
      </w:r>
      <w:proofErr w:type="spellEnd"/>
      <w:r w:rsidRPr="00D7594A">
        <w:rPr>
          <w:rFonts w:eastAsia="TT19o00" w:cstheme="minorHAnsi"/>
        </w:rPr>
        <w:t>).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  <w:lang w:val="en-US"/>
        </w:rPr>
      </w:pPr>
      <w:proofErr w:type="spellStart"/>
      <w:r w:rsidRPr="00D7594A">
        <w:rPr>
          <w:rFonts w:eastAsia="TT19o00" w:cstheme="minorHAnsi"/>
          <w:lang w:val="en-US"/>
        </w:rPr>
        <w:t>Serwis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udostępniania</w:t>
      </w:r>
      <w:proofErr w:type="spellEnd"/>
      <w:r w:rsidRPr="00D7594A">
        <w:rPr>
          <w:rFonts w:eastAsia="TT19o00" w:cstheme="minorHAnsi"/>
          <w:lang w:val="en-US"/>
        </w:rPr>
        <w:t xml:space="preserve"> </w:t>
      </w:r>
      <w:proofErr w:type="spellStart"/>
      <w:r w:rsidRPr="00D7594A">
        <w:rPr>
          <w:rFonts w:eastAsia="TT19o00" w:cstheme="minorHAnsi"/>
          <w:lang w:val="en-US"/>
        </w:rPr>
        <w:t>stron</w:t>
      </w:r>
      <w:proofErr w:type="spellEnd"/>
      <w:r w:rsidRPr="00D7594A">
        <w:rPr>
          <w:rFonts w:eastAsia="TT19o00" w:cstheme="minorHAnsi"/>
          <w:lang w:val="en-US"/>
        </w:rPr>
        <w:t xml:space="preserve"> WWW.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Wsparcie dla protokołu IP w wersji 6 (IPv6).</w:t>
      </w:r>
    </w:p>
    <w:p w:rsidR="00D46766" w:rsidRPr="00D7594A" w:rsidRDefault="00D46766" w:rsidP="000F541D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Wbudowane usługi VPN pozwalające na zestawienie nielimitowanej liczby równoczesnych połączeń i niewymagające instalacji dodatkowego oprogramowania na komputerach z systemem Windows.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automatycznej aktualizacji w oparciu o poprawki publikowane przez producenta wraz z dostępnością bezpłatnego rozwiązania producenta SSO umożliwiającego lokalną dystrybucję poprawek zatwierdzonych przez administratora, bez połączenia z siecią Internet.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Wsparcie dostępu do zasobu dyskowego SSO poprzez wiele ścieżek (</w:t>
      </w:r>
      <w:proofErr w:type="spellStart"/>
      <w:r w:rsidRPr="00D7594A">
        <w:rPr>
          <w:rFonts w:eastAsia="TT19o00" w:cstheme="minorHAnsi"/>
        </w:rPr>
        <w:t>Multipath</w:t>
      </w:r>
      <w:proofErr w:type="spellEnd"/>
      <w:r w:rsidRPr="00D7594A">
        <w:rPr>
          <w:rFonts w:eastAsia="TT19o00" w:cstheme="minorHAnsi"/>
        </w:rPr>
        <w:t>).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instalacji poprawek poprzez wgranie ich do obrazu instalacyjnego. Mechanizmy zdalnej administracji oraz mechanizmy (również działające zdalnie) administracji przez skrypty.</w:t>
      </w:r>
    </w:p>
    <w:p w:rsidR="00D46766" w:rsidRPr="00D7594A" w:rsidRDefault="00D46766" w:rsidP="000F541D">
      <w:pPr>
        <w:numPr>
          <w:ilvl w:val="1"/>
          <w:numId w:val="29"/>
        </w:numPr>
        <w:autoSpaceDE w:val="0"/>
        <w:autoSpaceDN w:val="0"/>
        <w:adjustRightInd w:val="0"/>
        <w:spacing w:after="0" w:line="276" w:lineRule="auto"/>
        <w:ind w:firstLine="207"/>
        <w:contextualSpacing/>
        <w:jc w:val="both"/>
        <w:rPr>
          <w:rFonts w:eastAsia="TT19o00" w:cstheme="minorHAnsi"/>
        </w:rPr>
      </w:pPr>
      <w:r w:rsidRPr="00D7594A">
        <w:rPr>
          <w:rFonts w:eastAsia="TT19o00" w:cstheme="minorHAnsi"/>
        </w:rPr>
        <w:t>Możliwość zarządzania przez wbudowane mechanizmy zgodne ze standardami WBEM oraz WS-Management organizacji DMTF; W przypadku zaoferowania przez Wykonawcę rozwiązania równoważnego, Wykonawca jest zobowiązany do pokrycia wszelkich możliwych kosztów, wymaganych w czasie wdrożenia oferowanego rozwiązania, w szczególności związanych z dostosowaniem infrastruktury informatycznej, oprogramowania nią zarządzającego, systemowego i narzędziowego (licencje, wdrożenie), serwisu gwarancyjnego oraz kosztów certyfikowanych szkoleń dla administratorów i użytkowników oferowanego rozwiązania.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D46766">
      <w:pPr>
        <w:pStyle w:val="Nagwek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Macierz dyskowa – 1 szt.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8230"/>
      </w:tblGrid>
      <w:tr w:rsidR="003C6ADD" w:rsidRPr="00D7594A" w:rsidTr="003C6ADD">
        <w:trPr>
          <w:trHeight w:val="1715"/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D7594A">
              <w:rPr>
                <w:rFonts w:cstheme="minorHAnsi"/>
                <w:b/>
              </w:rPr>
              <w:t>Lp.</w:t>
            </w:r>
          </w:p>
        </w:tc>
        <w:tc>
          <w:tcPr>
            <w:tcW w:w="45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D7594A">
              <w:rPr>
                <w:rFonts w:cstheme="minorHAnsi"/>
                <w:b/>
              </w:rPr>
              <w:t>Wymagania Minimalne</w:t>
            </w:r>
          </w:p>
        </w:tc>
      </w:tr>
      <w:tr w:rsidR="003C6ADD" w:rsidRPr="00D7594A" w:rsidTr="003C6ADD">
        <w:trPr>
          <w:trHeight w:val="1556"/>
          <w:jc w:val="center"/>
        </w:trPr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454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</w:rPr>
            </w:pP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</w:t>
            </w:r>
          </w:p>
        </w:tc>
        <w:tc>
          <w:tcPr>
            <w:tcW w:w="4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Urządzenie musi posiadać minimum dwa (2)</w:t>
            </w:r>
            <w:r w:rsidRPr="00D7594A">
              <w:rPr>
                <w:rFonts w:cstheme="minorHAnsi"/>
                <w:color w:val="FF0000"/>
              </w:rPr>
              <w:t xml:space="preserve"> </w:t>
            </w:r>
            <w:r w:rsidRPr="00D7594A">
              <w:rPr>
                <w:rFonts w:cstheme="minorHAnsi"/>
                <w:color w:val="000000"/>
              </w:rPr>
              <w:t xml:space="preserve">kontrolery obsługujące dostęp do dysków, pracujące w trybie Active/Active.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Moduł kontrolerów musi umożliwiać instalację minimum 24 dysków 2,5”.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Urządzenie musi umożliwiać instalację w szafach RACK 19” i musi być dostarczone z niezbędnym wyposażeniem do wykonania takiej instalacji.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2</w:t>
            </w:r>
          </w:p>
        </w:tc>
        <w:tc>
          <w:tcPr>
            <w:tcW w:w="4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Musi istnieć możliwość instalacji dodatkowych modułów dyskowych pozwalających na instalację w danym module minimum: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- 24 szt. dysków 2,5” w obudowie max 2U,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- 12 szt. dysków 3,5” w obudowie max 2U.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3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 xml:space="preserve">Zarządzanie macierzą poprzez minimum przeglądarkę internetową, GUI oparte o HTML5. Powiadamianie mailem o awarii, umożliwiające maskowanie i mapowanie dysków. Macierz powinna zostać dostarczona z licencją umożliwiającą utworzenie minimum 512 </w:t>
            </w:r>
            <w:proofErr w:type="spellStart"/>
            <w:r w:rsidRPr="00D7594A">
              <w:rPr>
                <w:rFonts w:cstheme="minorHAnsi"/>
                <w:color w:val="000000"/>
              </w:rPr>
              <w:t>LUN’ów</w:t>
            </w:r>
            <w:proofErr w:type="spellEnd"/>
            <w:r w:rsidRPr="00D7594A">
              <w:rPr>
                <w:rFonts w:cstheme="minorHAnsi"/>
                <w:color w:val="000000"/>
              </w:rPr>
              <w:t xml:space="preserve"> oraz 1024 kopii migawkowych na całą macierz.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4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Dwa kontrolery posiadające łącznie minimum osiem (8) portów Ethernet SFP28 25Gbps.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 xml:space="preserve">Z macierzą należy dostarczyć pochodzące od jej producenta okablowanie DAC (Direct </w:t>
            </w:r>
            <w:proofErr w:type="spellStart"/>
            <w:r w:rsidRPr="00D7594A">
              <w:rPr>
                <w:rFonts w:cstheme="minorHAnsi"/>
                <w:color w:val="000000"/>
              </w:rPr>
              <w:t>Attach</w:t>
            </w:r>
            <w:proofErr w:type="spellEnd"/>
            <w:r w:rsidRPr="00D7594A">
              <w:rPr>
                <w:rFonts w:cstheme="minorHAnsi"/>
                <w:color w:val="000000"/>
              </w:rPr>
              <w:t xml:space="preserve"> Cable) SFP+ 10Gbps o długości minimum 3m. w ilości 4 szt.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5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Minimum 16GB na kontroler, pamięć cache zapisu mirrorowana między kontrolerami, podtrzymywana bateryjnie przez min. 72h w razie awarii.</w:t>
            </w:r>
          </w:p>
        </w:tc>
      </w:tr>
      <w:tr w:rsidR="003C6ADD" w:rsidRPr="00D7594A" w:rsidTr="003C6ADD">
        <w:trPr>
          <w:trHeight w:val="1091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6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 xml:space="preserve">Przestrzeń surowa macierzy (ang. RAW) nie mniejsza niż 24TB zrealizowana na co najmniej 10 dyskach SSD wyposażonych w interfejsy 12 </w:t>
            </w:r>
            <w:proofErr w:type="spellStart"/>
            <w:r w:rsidRPr="00D7594A">
              <w:rPr>
                <w:rFonts w:cstheme="minorHAnsi"/>
                <w:color w:val="000000"/>
              </w:rPr>
              <w:t>Gbps</w:t>
            </w:r>
            <w:proofErr w:type="spellEnd"/>
            <w:r w:rsidRPr="00D7594A">
              <w:rPr>
                <w:rFonts w:cstheme="minorHAnsi"/>
                <w:color w:val="000000"/>
              </w:rPr>
              <w:t xml:space="preserve"> SAS.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7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Możliwość rozbudowy przez dokładanie kolejnych dysków/półek dyskowych do łącznie minimum 270 dysków. Możliwość mieszania typów dysków w obrębie macierzy oraz pojedynczej półki.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8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 xml:space="preserve">Urządzenie musi wspierać architekturę bezpośredniego podłączania serwerów do macierzy (bez pośrednictwa przełączników SAN) przy pomocy protokołów FC i </w:t>
            </w:r>
            <w:proofErr w:type="spellStart"/>
            <w:r w:rsidRPr="00D7594A">
              <w:rPr>
                <w:rFonts w:cstheme="minorHAnsi"/>
                <w:color w:val="000000"/>
              </w:rPr>
              <w:t>iSCSI</w:t>
            </w:r>
            <w:proofErr w:type="spellEnd"/>
            <w:r w:rsidRPr="00D7594A">
              <w:rPr>
                <w:rFonts w:cstheme="minorHAnsi"/>
                <w:color w:val="000000"/>
              </w:rPr>
              <w:t>. Musi być to potwierdzone w oficjalnych dokumentach producenta urządzenia.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9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 xml:space="preserve">Urządzenie musi umożliwiać zastosowanie dysków SSD, HDD 10k i HDD 7,2k RPM. Wszystkie dyski 2,5" i 3,5" muszą być wyposażone w interfejsy SAS 12Gbps lub wydajniejsze. 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10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Konieczne jest posiadanie automatycznego, bez interwencji człowieka, rozkładania danych między dyskami poszczególnych typów (tzw. auto-</w:t>
            </w:r>
            <w:proofErr w:type="spellStart"/>
            <w:r w:rsidRPr="00D7594A">
              <w:rPr>
                <w:rFonts w:cstheme="minorHAnsi"/>
                <w:color w:val="000000"/>
              </w:rPr>
              <w:t>tiering</w:t>
            </w:r>
            <w:proofErr w:type="spellEnd"/>
            <w:r w:rsidRPr="00D7594A">
              <w:rPr>
                <w:rFonts w:cstheme="minorHAnsi"/>
                <w:color w:val="000000"/>
              </w:rPr>
              <w:t>). Dane muszą być automatycznie przemieszczane między rożnymi typami dysków.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11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Licencja zaoferowanej macierzy powinna umożliwiać podłączanie minimum 8 hostów bez konieczności zakupu dodatkowych licencji.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12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Możliwość wykorzystania dysków SSD jako cache macierzy, możliwość rozbudowy pamięci cache do min. 4TB poprzez dyski SSD.</w:t>
            </w:r>
          </w:p>
        </w:tc>
      </w:tr>
      <w:tr w:rsidR="003C6ADD" w:rsidRPr="00D7594A" w:rsidTr="003C6ADD">
        <w:trPr>
          <w:trHeight w:val="274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13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Ciągła praca obu kontrolerów nawet w przypadku zaniku jednej z faz zasilania. Zasilacze, wentylatory, kontrolery RAID redundantne.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14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Zamawiający wymaga dokumentacji w języku polskim lub angielskim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15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Urządzenie musi umożliwiać równoczesną obsługę wielu poziomów RAID, minimum RAID 10, 5, 6.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16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Urządzenie musi być wyprodukowany zgodnie z normą ISO 9001:2008.</w:t>
            </w:r>
          </w:p>
        </w:tc>
      </w:tr>
      <w:tr w:rsidR="003C6ADD" w:rsidRPr="00D7594A" w:rsidTr="003C6ADD">
        <w:trPr>
          <w:trHeight w:val="545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17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 xml:space="preserve">Możliwość sprawdzenia statusu gwarancji poprzez stronę producenta podając unikatowy numer urządzenia, oraz pobieranie uaktualnień </w:t>
            </w:r>
            <w:proofErr w:type="spellStart"/>
            <w:r w:rsidRPr="00D7594A">
              <w:rPr>
                <w:rFonts w:cstheme="minorHAnsi"/>
                <w:color w:val="000000"/>
              </w:rPr>
              <w:t>mikrokodu</w:t>
            </w:r>
            <w:proofErr w:type="spellEnd"/>
            <w:r w:rsidRPr="00D7594A">
              <w:rPr>
                <w:rFonts w:cstheme="minorHAnsi"/>
                <w:color w:val="000000"/>
              </w:rPr>
              <w:t xml:space="preserve"> oraz sterowników nawet w przypadku wygaśnięcia gwarancji urządzenia.</w:t>
            </w:r>
          </w:p>
        </w:tc>
      </w:tr>
      <w:tr w:rsidR="003C6ADD" w:rsidRPr="00D7594A" w:rsidTr="003C6ADD">
        <w:trPr>
          <w:trHeight w:val="3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18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Urządzenie musi być objęte co najmniej 3-letnią gwarancją. Usługi gwarancyjne świadczone przez producenta i/lub autoryzowany serwis producenta realizowane będą w dni robocze, w miejscu instalacji sprzętu z czasem reakcji minimum Następny Dzień Roboczy (NBD).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Musi istnieć możliwość sprawdzenia na stronie WWW producenta serwera, prowadzonej w języku polskim, po podaniu numeru seryjnego urządzenia minimum: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- okresu oraz poziomu gwarancji,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- zainstalowanych komponentów (w tym m.in. dysków, zasilaczy i kart komunikacyjnych).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Adres strony WWW producenta na której można sprawdzić powyższe dane musi być podany w złożonej ofercie.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Gwarancja w okresie jej obowiązywania, musi zawierać usługę pozostawiania bez opłat u Zamawiającego uszkodzonych dysków twardych w przypadku ich wymiany.</w:t>
            </w:r>
          </w:p>
        </w:tc>
      </w:tr>
      <w:tr w:rsidR="003C6ADD" w:rsidRPr="00D7594A" w:rsidTr="003C6ADD">
        <w:trPr>
          <w:trHeight w:val="600"/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19</w:t>
            </w:r>
          </w:p>
        </w:tc>
        <w:tc>
          <w:tcPr>
            <w:tcW w:w="4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  <w:color w:val="000000"/>
              </w:rPr>
            </w:pPr>
            <w:r w:rsidRPr="00D7594A">
              <w:rPr>
                <w:rFonts w:cstheme="minorHAnsi"/>
                <w:color w:val="000000"/>
              </w:rPr>
              <w:t>W zakresie wsparcia i gwarancji Zamawiający wymaga przestawienia oświadczenia producenta oferowanego urządzenia, wskazującego, że oferowane urządzenie będzie objęte serwisem producenta i/lub serwisem autoryzowanego serwisu producenta oraz, że uszkodzone dyski w przypadku wymiany z powodu awarii w okresie obowiązywania gwarancji, pozostaną własnością Zamawiającego. Niniejsze oświadczenie ma zostać dostarczone wraz z ofertą.</w:t>
            </w:r>
          </w:p>
        </w:tc>
      </w:tr>
    </w:tbl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D46766">
      <w:pPr>
        <w:pStyle w:val="Nagwek1"/>
        <w:spacing w:line="276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1" w:name="_Toc193708338"/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Oprogramowanie kopii zapasowych – 1 komplet.</w:t>
      </w:r>
      <w:bookmarkEnd w:id="1"/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846"/>
        <w:gridCol w:w="8363"/>
      </w:tblGrid>
      <w:tr w:rsidR="003C6ADD" w:rsidRPr="00D7594A" w:rsidTr="003C6ADD">
        <w:trPr>
          <w:trHeight w:val="45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</w:rPr>
            </w:pPr>
            <w:r w:rsidRPr="00D7594A">
              <w:rPr>
                <w:rFonts w:cstheme="minorHAnsi"/>
                <w:b/>
              </w:rPr>
              <w:t>Lp.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</w:rPr>
            </w:pPr>
            <w:r w:rsidRPr="00D7594A">
              <w:rPr>
                <w:rFonts w:cstheme="minorHAnsi"/>
                <w:b/>
              </w:rPr>
              <w:t>Wymagania Minimalne</w:t>
            </w:r>
          </w:p>
        </w:tc>
      </w:tr>
      <w:tr w:rsidR="003C6ADD" w:rsidRPr="00D7594A" w:rsidTr="003C6ADD">
        <w:trPr>
          <w:trHeight w:val="429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  <w:b/>
              </w:rPr>
            </w:pPr>
          </w:p>
        </w:tc>
      </w:tr>
      <w:tr w:rsidR="003C6ADD" w:rsidRPr="00D7594A" w:rsidTr="003C6ADD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Wymagane jest dostarczenie licencji pozwalających na ochronę następujących typów instancji systemów: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0"/>
              </w:num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wirtualnych maszyn pracujących na oferowanej platformie wirtualizacji serwerów i pracujących pod kontrolą systemów operacyjnych, systemów z rodziny Microsoft Windows Server oraz Linux,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0"/>
              </w:num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serwerów fizycznych pracujących pod kontrolą oferowanego systemu operacyjnego, systemów z rodziny Microsoft Windows Server oraz Linux,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0"/>
              </w:num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instancji serwera baz danych (minimum Oracle oraz Microsoft SQL Server),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0"/>
              </w:num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stacje robocze/laptopy.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Licencje muszą zapewnić ochronę sumarycznie minimum dziesięciu (10) instancji systemów z w/w typów. Dodatkowo licencje muszą umożliwiać ich przenoszenie pomiędzy w/w typami.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Zamawiający jako alternatywne rozwiązanie dopuszcza licencjonowanie oparte o ilość chronionych danych (FETB – „Front-End TB”). W takim wypadku należy dostarczyć licencje na minimum 20TB danych źródłowych, przy zachowaniu możliwości ochrony wszystkich wymienionych rodzajów instancji systemów oraz pozostałych wymagań niniejszej specyfikacji.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współpracować z infrastrukturą </w:t>
            </w:r>
            <w:proofErr w:type="spellStart"/>
            <w:r w:rsidRPr="00D7594A">
              <w:rPr>
                <w:rFonts w:cstheme="minorHAnsi"/>
              </w:rPr>
              <w:t>VMware</w:t>
            </w:r>
            <w:proofErr w:type="spellEnd"/>
            <w:r w:rsidRPr="00D7594A">
              <w:rPr>
                <w:rFonts w:cstheme="minorHAnsi"/>
              </w:rPr>
              <w:t xml:space="preserve"> w wersjach 8.0 oraz Microsoft Hyper-V 2022.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Wszystkie funkcjonalności w specyfikacji muszą być dostępne na wszystkich wspieranych platformach </w:t>
            </w:r>
            <w:proofErr w:type="spellStart"/>
            <w:r w:rsidRPr="00D7594A">
              <w:rPr>
                <w:rFonts w:cstheme="minorHAnsi"/>
              </w:rPr>
              <w:t>wirtualizacyjnych</w:t>
            </w:r>
            <w:proofErr w:type="spellEnd"/>
            <w:r w:rsidRPr="00D7594A">
              <w:rPr>
                <w:rFonts w:cstheme="minorHAnsi"/>
              </w:rPr>
              <w:t>, chyba, że wyszczególniono inaczej.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współpracować z hostami zarządzanymi przez </w:t>
            </w:r>
            <w:proofErr w:type="spellStart"/>
            <w:r w:rsidRPr="00D7594A">
              <w:rPr>
                <w:rFonts w:cstheme="minorHAnsi"/>
              </w:rPr>
              <w:t>VMware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vCenter</w:t>
            </w:r>
            <w:proofErr w:type="spellEnd"/>
            <w:r w:rsidRPr="00D7594A">
              <w:rPr>
                <w:rFonts w:cstheme="minorHAnsi"/>
              </w:rPr>
              <w:t xml:space="preserve"> oraz pojedynczymi hostami.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współpracować z hostami zarządzanymi przez System Center Virtual Machine Manager, klastrami hostów oraz pojedynczymi hostami.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zapewniać tworzenie kopii zapasowych wszystkich systemów operacyjnych maszyn wirtualnych wspieranych przez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 xml:space="preserve"> i Hyper-V.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zapewniać tworzenie kopii zapasowych z sieciowych urządzeń plikowych NAS opartych o SMB, CIFS i/lub NFS oraz bezpośrednio z serwerów plikowych opartych o Windows i Linux.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być niezależne sprzętowo i umożliwiać wykorzystanie dowolnej platformy serwerowej i dyskowej.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 w:rsidRPr="00D7594A">
              <w:rPr>
                <w:rFonts w:cstheme="minorHAnsi"/>
              </w:rPr>
              <w:t>deduplikowanych</w:t>
            </w:r>
            <w:proofErr w:type="spellEnd"/>
            <w:r w:rsidRPr="00D7594A">
              <w:rPr>
                <w:rFonts w:cstheme="minorHAnsi"/>
              </w:rPr>
              <w:t xml:space="preserve"> bloków.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D7594A">
              <w:rPr>
                <w:rFonts w:cstheme="minorHAnsi"/>
              </w:rPr>
              <w:t>reverse-incremental</w:t>
            </w:r>
            <w:proofErr w:type="spellEnd"/>
            <w:r w:rsidRPr="00D7594A">
              <w:rPr>
                <w:rFonts w:cstheme="minorHAnsi"/>
              </w:rPr>
              <w:t>).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mieć mechanizmy deduplikacji i kompresji w celu zmniejszenia wielkości archiwów. Włączenie tych mechanizmów nie może skutkować utratą jakichkolwiek funkcjonalności wymienionych w tej specyfikacji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zapewniać warstwę abstrakcji nad poszczególnymi urządzeniami pamięci masowej, pozwalając utworzyć jedną wirtualną pulę pamięci na kopie zapasowe. Wymagane jest wsparcie dla nieograni</w:t>
            </w:r>
            <w:r>
              <w:rPr>
                <w:rFonts w:cstheme="minorHAnsi"/>
              </w:rPr>
              <w:t>czonej liczby pamięci masowych d</w:t>
            </w:r>
            <w:r w:rsidRPr="00D7594A">
              <w:rPr>
                <w:rFonts w:cstheme="minorHAnsi"/>
              </w:rPr>
              <w:t>o takiej puli.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pozwalać na rozszerzenie lokalnej przestrzeni backupowej poprzez integrację z Microsoft </w:t>
            </w:r>
            <w:proofErr w:type="spellStart"/>
            <w:r w:rsidRPr="00D7594A">
              <w:rPr>
                <w:rFonts w:cstheme="minorHAnsi"/>
              </w:rPr>
              <w:t>Azure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Blob</w:t>
            </w:r>
            <w:proofErr w:type="spellEnd"/>
            <w:r w:rsidRPr="00D7594A">
              <w:rPr>
                <w:rFonts w:cstheme="minorHAnsi"/>
              </w:rPr>
              <w:t>, Amazon S3 oraz z innymi kompatybilnymi z S3 macierzami obiektowymi. Proces migracji danych powinien być zautomatyzowany. Jedynie unikalne bloki mogą być przesyłane w celu oszczędności pasma oraz przestrzeni na przechowywane dane. Funkcjonalność ta nie może mieć wpływu na możliwości odtwarzania danych.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nie może przechowywać danych o deduplikacji w centralnej bazie. Utrata bazy danych używanej przez oprogramowanie nie może prowadzić do utraty możliwości odtworzenia backupu. Metadane deduplikacji muszą być przechowywane w plikach backupu.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nie może instalować żadnych stałych agentów wymagających wdrożenia czy aktualizowania wewnątrz maszyny wirtualnej dla jakichkolwiek funkcjonalności backupu lub odtwarzania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mieć możliwość uruchamiania dowolnych skryptów przed i po zadaniu backupowym lub przed i po wykonaniu zadania wykonania kopii migawkowej (</w:t>
            </w:r>
            <w:proofErr w:type="spellStart"/>
            <w:r w:rsidRPr="00D7594A">
              <w:rPr>
                <w:rFonts w:cstheme="minorHAnsi"/>
              </w:rPr>
              <w:t>snapshot</w:t>
            </w:r>
            <w:proofErr w:type="spellEnd"/>
            <w:r w:rsidRPr="00D7594A">
              <w:rPr>
                <w:rFonts w:cstheme="minorHAnsi"/>
              </w:rPr>
              <w:t>).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oferować portal samoobsługowy, umożliwiający odtwarzanie użytkownikom wirtualnych maszyn, obiektów MS Exchange i baz danych MS SQL oraz Oracle (w tym odtwarzanie point-in-</w:t>
            </w:r>
            <w:proofErr w:type="spellStart"/>
            <w:r w:rsidRPr="00D7594A">
              <w:rPr>
                <w:rFonts w:cstheme="minorHAnsi"/>
              </w:rPr>
              <w:t>time</w:t>
            </w:r>
            <w:proofErr w:type="spellEnd"/>
            <w:r w:rsidRPr="00D7594A">
              <w:rPr>
                <w:rFonts w:cstheme="minorHAnsi"/>
              </w:rPr>
              <w:t>)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zapewniać możliwość delegacji uprawnień do odtwarzania danych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19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mieć możliwość integracji z innymi systemami poprzez wbudowane </w:t>
            </w:r>
            <w:proofErr w:type="spellStart"/>
            <w:r w:rsidRPr="00D7594A">
              <w:rPr>
                <w:rFonts w:cstheme="minorHAnsi"/>
              </w:rPr>
              <w:t>RESTful</w:t>
            </w:r>
            <w:proofErr w:type="spellEnd"/>
            <w:r w:rsidRPr="00D7594A">
              <w:rPr>
                <w:rFonts w:cstheme="minorHAnsi"/>
              </w:rPr>
              <w:t xml:space="preserve"> API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D7594A">
              <w:rPr>
                <w:rFonts w:cstheme="minorHAnsi"/>
              </w:rPr>
              <w:t>reinstalacji</w:t>
            </w:r>
            <w:proofErr w:type="spellEnd"/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mieć wbudowane mechanizmy szyfrowania zarówno plików z backupami jak i transmisji sieciowej. Włączenie szyfrowania nie może skutkować utratą jakiejkolwiek funkcjonalności wymienionej w tej specyfikacji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posiadać mechanizmy chroniące przed utratą hasła szyfrowania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wspierać backup maszyn wirtualnych używających współdzielonych dysków VHDX na Hyper-V (</w:t>
            </w:r>
            <w:proofErr w:type="spellStart"/>
            <w:r w:rsidRPr="00D7594A">
              <w:rPr>
                <w:rFonts w:cstheme="minorHAnsi"/>
              </w:rPr>
              <w:t>shared</w:t>
            </w:r>
            <w:proofErr w:type="spellEnd"/>
            <w:r w:rsidRPr="00D7594A">
              <w:rPr>
                <w:rFonts w:cstheme="minorHAnsi"/>
              </w:rPr>
              <w:t xml:space="preserve"> VHDX)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posiadać architekturę klient/serwer z możliwością instalacji wielu instancji konsoli administracyjnych.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wykorzystywać mechanizmy </w:t>
            </w:r>
            <w:proofErr w:type="spellStart"/>
            <w:r w:rsidRPr="00D7594A">
              <w:rPr>
                <w:rFonts w:cstheme="minorHAnsi"/>
              </w:rPr>
              <w:t>Change</w:t>
            </w:r>
            <w:proofErr w:type="spellEnd"/>
            <w:r w:rsidRPr="00D7594A">
              <w:rPr>
                <w:rFonts w:cstheme="minorHAnsi"/>
              </w:rPr>
              <w:t xml:space="preserve"> Block </w:t>
            </w:r>
            <w:proofErr w:type="spellStart"/>
            <w:r w:rsidRPr="00D7594A">
              <w:rPr>
                <w:rFonts w:cstheme="minorHAnsi"/>
              </w:rPr>
              <w:t>Tracking</w:t>
            </w:r>
            <w:proofErr w:type="spellEnd"/>
            <w:r w:rsidRPr="00D7594A">
              <w:rPr>
                <w:rFonts w:cstheme="minorHAnsi"/>
              </w:rPr>
              <w:t xml:space="preserve"> na wszystkich wspieranych platformach </w:t>
            </w:r>
            <w:proofErr w:type="spellStart"/>
            <w:r w:rsidRPr="00D7594A">
              <w:rPr>
                <w:rFonts w:cstheme="minorHAnsi"/>
              </w:rPr>
              <w:t>wirtualizacyjnych</w:t>
            </w:r>
            <w:proofErr w:type="spellEnd"/>
            <w:r w:rsidRPr="00D7594A">
              <w:rPr>
                <w:rFonts w:cstheme="minorHAnsi"/>
              </w:rPr>
              <w:t xml:space="preserve">. Mechanizmy muszą być certyfikowane przez dostawcę platformy </w:t>
            </w:r>
            <w:proofErr w:type="spellStart"/>
            <w:r w:rsidRPr="00D7594A">
              <w:rPr>
                <w:rFonts w:cstheme="minorHAnsi"/>
              </w:rPr>
              <w:t>wirtualizacyjnej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oferować możliwość sterowania obciążeniem </w:t>
            </w:r>
            <w:proofErr w:type="spellStart"/>
            <w:r w:rsidRPr="00D7594A">
              <w:rPr>
                <w:rFonts w:cstheme="minorHAnsi"/>
              </w:rPr>
              <w:t>storage'u</w:t>
            </w:r>
            <w:proofErr w:type="spellEnd"/>
            <w:r w:rsidRPr="00D7594A">
              <w:rPr>
                <w:rFonts w:cstheme="minorHAnsi"/>
              </w:rPr>
              <w:t xml:space="preserve"> produkcyjnego tak aby nie przekraczane były skonfigurowane przez administratora backupu poziomy latencji. Funkcjonalność ta musi być dostępna na wszystkich wspieranych platformach </w:t>
            </w:r>
            <w:proofErr w:type="spellStart"/>
            <w:r w:rsidRPr="00D7594A">
              <w:rPr>
                <w:rFonts w:cstheme="minorHAnsi"/>
              </w:rPr>
              <w:t>wirtualizacyjnych</w:t>
            </w:r>
            <w:proofErr w:type="spellEnd"/>
            <w:r w:rsidRPr="00D7594A">
              <w:rPr>
                <w:rFonts w:cstheme="minorHAnsi"/>
              </w:rPr>
              <w:t>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oferować ten mechanizm z dokładnością do </w:t>
            </w:r>
            <w:proofErr w:type="spellStart"/>
            <w:r w:rsidRPr="00D7594A">
              <w:rPr>
                <w:rFonts w:cstheme="minorHAnsi"/>
              </w:rPr>
              <w:t>datastoru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automatycznie wykrywać i usuwać </w:t>
            </w:r>
            <w:proofErr w:type="spellStart"/>
            <w:r w:rsidRPr="00D7594A">
              <w:rPr>
                <w:rFonts w:cstheme="minorHAnsi"/>
              </w:rPr>
              <w:t>snapshoty</w:t>
            </w:r>
            <w:proofErr w:type="spellEnd"/>
            <w:r w:rsidRPr="00D7594A">
              <w:rPr>
                <w:rFonts w:cstheme="minorHAnsi"/>
              </w:rPr>
              <w:t>-sieroty (</w:t>
            </w:r>
            <w:proofErr w:type="spellStart"/>
            <w:r w:rsidRPr="00D7594A">
              <w:rPr>
                <w:rFonts w:cstheme="minorHAnsi"/>
              </w:rPr>
              <w:t>orphaned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snapshots</w:t>
            </w:r>
            <w:proofErr w:type="spellEnd"/>
            <w:r w:rsidRPr="00D7594A">
              <w:rPr>
                <w:rFonts w:cstheme="minorHAnsi"/>
              </w:rPr>
              <w:t>), które mogą zakłócić poprawne wykonanie backupu. Proces ten nie może wymagać interakcji administratora.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zapewniać tworzenie kopii zapasowych z bezpośrednim wykorzystaniem </w:t>
            </w:r>
            <w:proofErr w:type="spellStart"/>
            <w:r w:rsidRPr="00D7594A">
              <w:rPr>
                <w:rFonts w:cstheme="minorHAnsi"/>
              </w:rPr>
              <w:t>snapshotów</w:t>
            </w:r>
            <w:proofErr w:type="spellEnd"/>
            <w:r w:rsidRPr="00D7594A">
              <w:rPr>
                <w:rFonts w:cstheme="minorHAnsi"/>
              </w:rPr>
              <w:t xml:space="preserve"> macierzowych. Musi też zapewniać odtwarzanie maszyn wirtualnych z takich </w:t>
            </w:r>
            <w:proofErr w:type="spellStart"/>
            <w:r w:rsidRPr="00D7594A">
              <w:rPr>
                <w:rFonts w:cstheme="minorHAnsi"/>
              </w:rPr>
              <w:t>snapshotów</w:t>
            </w:r>
            <w:proofErr w:type="spellEnd"/>
            <w:r w:rsidRPr="00D7594A">
              <w:rPr>
                <w:rFonts w:cstheme="minorHAnsi"/>
              </w:rPr>
              <w:t xml:space="preserve">. Proces wykonania kopii zapasowej nie może wymagać użycia jakichkolwiek hostów tymczasowych. Opisana funkcjonalność powinna działać w środowisku </w:t>
            </w:r>
            <w:proofErr w:type="spellStart"/>
            <w:r w:rsidRPr="00D7594A">
              <w:rPr>
                <w:rFonts w:cstheme="minorHAnsi"/>
              </w:rPr>
              <w:t>VMware</w:t>
            </w:r>
            <w:proofErr w:type="spellEnd"/>
            <w:r w:rsidRPr="00D7594A">
              <w:rPr>
                <w:rFonts w:cstheme="minorHAnsi"/>
              </w:rPr>
              <w:t xml:space="preserve"> i być dostępna minimum dla następujących macierzy: Dell EMC, </w:t>
            </w:r>
            <w:proofErr w:type="spellStart"/>
            <w:r w:rsidRPr="00D7594A">
              <w:rPr>
                <w:rFonts w:cstheme="minorHAnsi"/>
              </w:rPr>
              <w:t>NetApp</w:t>
            </w:r>
            <w:proofErr w:type="spellEnd"/>
            <w:r w:rsidRPr="00D7594A">
              <w:rPr>
                <w:rFonts w:cstheme="minorHAnsi"/>
              </w:rPr>
              <w:t xml:space="preserve">, IBM, </w:t>
            </w:r>
            <w:proofErr w:type="spellStart"/>
            <w:r w:rsidRPr="00D7594A">
              <w:rPr>
                <w:rFonts w:cstheme="minorHAnsi"/>
              </w:rPr>
              <w:t>Pure</w:t>
            </w:r>
            <w:proofErr w:type="spellEnd"/>
            <w:r w:rsidRPr="00D7594A">
              <w:rPr>
                <w:rFonts w:cstheme="minorHAnsi"/>
              </w:rPr>
              <w:t xml:space="preserve"> Storage.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29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wspierać kopiowanie backupów na taśmy wraz z pełnym śledzeniem wirtualnych maszyn.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mieć możliwość tworzenia retencji GFS (</w:t>
            </w:r>
            <w:proofErr w:type="spellStart"/>
            <w:r w:rsidRPr="00D7594A">
              <w:rPr>
                <w:rFonts w:cstheme="minorHAnsi"/>
              </w:rPr>
              <w:t>Grandfather-Father-Son</w:t>
            </w:r>
            <w:proofErr w:type="spellEnd"/>
            <w:r w:rsidRPr="00D7594A">
              <w:rPr>
                <w:rFonts w:cstheme="minorHAnsi"/>
              </w:rPr>
              <w:t>)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umieć korzystać z protokołu DDBOOST w przypadku, gdy repozytorium backupów jest umiejscowione na Dell EMC </w:t>
            </w:r>
            <w:proofErr w:type="spellStart"/>
            <w:r w:rsidRPr="00D7594A">
              <w:rPr>
                <w:rFonts w:cstheme="minorHAnsi"/>
              </w:rPr>
              <w:t>DataDomain</w:t>
            </w:r>
            <w:proofErr w:type="spellEnd"/>
            <w:r w:rsidRPr="00D7594A">
              <w:rPr>
                <w:rFonts w:cstheme="minorHAnsi"/>
              </w:rPr>
              <w:t>. Funkcjonalność powinna wspierać łącze sieciowe lub FC.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umieć korzystać z protokołu </w:t>
            </w:r>
            <w:proofErr w:type="spellStart"/>
            <w:r w:rsidRPr="00D7594A">
              <w:rPr>
                <w:rFonts w:cstheme="minorHAnsi"/>
              </w:rPr>
              <w:t>Catalyst</w:t>
            </w:r>
            <w:proofErr w:type="spellEnd"/>
            <w:r w:rsidRPr="00D7594A">
              <w:rPr>
                <w:rFonts w:cstheme="minorHAnsi"/>
              </w:rPr>
              <w:t xml:space="preserve"> (w tym </w:t>
            </w:r>
            <w:proofErr w:type="spellStart"/>
            <w:r w:rsidRPr="00D7594A">
              <w:rPr>
                <w:rFonts w:cstheme="minorHAnsi"/>
              </w:rPr>
              <w:t>Catalyst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Copy</w:t>
            </w:r>
            <w:proofErr w:type="spellEnd"/>
            <w:r w:rsidRPr="00D7594A">
              <w:rPr>
                <w:rFonts w:cstheme="minorHAnsi"/>
              </w:rPr>
              <w:t xml:space="preserve">) w przypadku, gdy repozytorium backupów jest umiejscowione na HPE </w:t>
            </w:r>
            <w:proofErr w:type="spellStart"/>
            <w:r w:rsidRPr="00D7594A">
              <w:rPr>
                <w:rFonts w:cstheme="minorHAnsi"/>
              </w:rPr>
              <w:t>StoreOnce</w:t>
            </w:r>
            <w:proofErr w:type="spellEnd"/>
            <w:r w:rsidRPr="00D7594A">
              <w:rPr>
                <w:rFonts w:cstheme="minorHAnsi"/>
              </w:rPr>
              <w:t>. Funkcjonalność powinna wspierać łącze sieciowe lub FC.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</w:t>
            </w:r>
            <w:proofErr w:type="spellStart"/>
            <w:r w:rsidRPr="00D7594A">
              <w:rPr>
                <w:rFonts w:cstheme="minorHAnsi"/>
              </w:rPr>
              <w:t>BlockClone</w:t>
            </w:r>
            <w:proofErr w:type="spellEnd"/>
            <w:r w:rsidRPr="00D7594A">
              <w:rPr>
                <w:rFonts w:cstheme="minorHAnsi"/>
              </w:rPr>
              <w:t xml:space="preserve"> API w przypadku użycia Windows Server 2019 z systemem pliku </w:t>
            </w:r>
            <w:proofErr w:type="spellStart"/>
            <w:r w:rsidRPr="00D7594A">
              <w:rPr>
                <w:rFonts w:cstheme="minorHAnsi"/>
              </w:rPr>
              <w:t>ReFS</w:t>
            </w:r>
            <w:proofErr w:type="spellEnd"/>
            <w:r w:rsidRPr="00D7594A">
              <w:rPr>
                <w:rFonts w:cstheme="minorHAnsi"/>
              </w:rPr>
              <w:t xml:space="preserve"> jako repozytorium backupu. Podobna funkcjonalność musi być zapewniona dla repozytoriów opartych o </w:t>
            </w:r>
            <w:proofErr w:type="spellStart"/>
            <w:r w:rsidRPr="00D7594A">
              <w:rPr>
                <w:rFonts w:cstheme="minorHAnsi"/>
              </w:rPr>
              <w:t>linuxowy</w:t>
            </w:r>
            <w:proofErr w:type="spellEnd"/>
            <w:r w:rsidRPr="00D7594A">
              <w:rPr>
                <w:rFonts w:cstheme="minorHAnsi"/>
              </w:rPr>
              <w:t xml:space="preserve"> system plików XFS.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mieć możliwość kopiowania backupów oraz replikacji wirtualnych maszyn z wykorzystaniem wbudowanej akceleracji WAN.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mieć możliwość replikacji włączonych wirtualnych maszyn bezpośrednio z infrastruktury </w:t>
            </w:r>
            <w:proofErr w:type="spellStart"/>
            <w:r w:rsidRPr="00D7594A">
              <w:rPr>
                <w:rFonts w:cstheme="minorHAnsi"/>
              </w:rPr>
              <w:t>VMware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 xml:space="preserve">, pomiędzy hostami </w:t>
            </w:r>
            <w:proofErr w:type="spellStart"/>
            <w:r w:rsidRPr="00D7594A">
              <w:rPr>
                <w:rFonts w:cstheme="minorHAnsi"/>
              </w:rPr>
              <w:t>ESXi</w:t>
            </w:r>
            <w:proofErr w:type="spellEnd"/>
            <w:r w:rsidRPr="00D7594A">
              <w:rPr>
                <w:rFonts w:cstheme="minorHAnsi"/>
              </w:rPr>
              <w:t xml:space="preserve">, włączając asynchroniczną replikacją ciągłą. Dodatkowo oprogramowanie musi mieć możliwość użycia plików kopii zapasowych jako źródła replikacji.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umożliwiać przechowywanie punktów przywracania dla replik.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umożliwiać wykorzystanie istniejących w infrastrukturze wirtualnych maszyn jako źródła do dalszej replikacji.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posiadać takie same funkcjonalności replikacji dla Hyper-V.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wykorzystywać wszystkie oferowane przez </w:t>
            </w:r>
            <w:proofErr w:type="spellStart"/>
            <w:r w:rsidRPr="00D7594A">
              <w:rPr>
                <w:rFonts w:cstheme="minorHAnsi"/>
              </w:rPr>
              <w:t>hypervisor</w:t>
            </w:r>
            <w:proofErr w:type="spellEnd"/>
            <w:r w:rsidRPr="00D7594A">
              <w:rPr>
                <w:rFonts w:cstheme="minorHAnsi"/>
              </w:rPr>
              <w:t xml:space="preserve"> tryby transportu (sieć, hot-</w:t>
            </w:r>
            <w:proofErr w:type="spellStart"/>
            <w:r w:rsidRPr="00D7594A">
              <w:rPr>
                <w:rFonts w:cstheme="minorHAnsi"/>
              </w:rPr>
              <w:t>add</w:t>
            </w:r>
            <w:proofErr w:type="spellEnd"/>
            <w:r w:rsidRPr="00D7594A">
              <w:rPr>
                <w:rFonts w:cstheme="minorHAnsi"/>
              </w:rPr>
              <w:t xml:space="preserve">, LAN </w:t>
            </w:r>
            <w:proofErr w:type="spellStart"/>
            <w:r w:rsidRPr="00D7594A">
              <w:rPr>
                <w:rFonts w:cstheme="minorHAnsi"/>
              </w:rPr>
              <w:t>Free</w:t>
            </w:r>
            <w:proofErr w:type="spellEnd"/>
            <w:r w:rsidRPr="00D7594A">
              <w:rPr>
                <w:rFonts w:cstheme="minorHAnsi"/>
              </w:rPr>
              <w:t>-SAN).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39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dawać możliwość tworzenia backupów ad-hoc z konsoli jak i z klienta webowego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przetwarzać wiele wirtualnych dysków jednocześnie. 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umożliwiać jednoczesne uruchomienie wielu maszyn wirtualnych bezpośrednio ze </w:t>
            </w:r>
            <w:proofErr w:type="spellStart"/>
            <w:r w:rsidRPr="00D7594A">
              <w:rPr>
                <w:rFonts w:cstheme="minorHAnsi"/>
              </w:rPr>
              <w:t>zdeduplikowanego</w:t>
            </w:r>
            <w:proofErr w:type="spellEnd"/>
            <w:r w:rsidRPr="00D7594A">
              <w:rPr>
                <w:rFonts w:cstheme="minorHAnsi"/>
              </w:rPr>
              <w:t xml:space="preserve"> i skompresowanego pliku backupu, z dowolnego punktu przywracania, bez potrzeby kopiowania jej na </w:t>
            </w:r>
            <w:proofErr w:type="spellStart"/>
            <w:r w:rsidRPr="00D7594A">
              <w:rPr>
                <w:rFonts w:cstheme="minorHAnsi"/>
              </w:rPr>
              <w:t>storage</w:t>
            </w:r>
            <w:proofErr w:type="spellEnd"/>
            <w:r w:rsidRPr="00D7594A">
              <w:rPr>
                <w:rFonts w:cstheme="minorHAnsi"/>
              </w:rPr>
              <w:t xml:space="preserve"> produkcyjny. Funkcjonalność musi być oferowana dla środowisk </w:t>
            </w:r>
            <w:proofErr w:type="spellStart"/>
            <w:r w:rsidRPr="00D7594A">
              <w:rPr>
                <w:rFonts w:cstheme="minorHAnsi"/>
              </w:rPr>
              <w:t>VMware</w:t>
            </w:r>
            <w:proofErr w:type="spellEnd"/>
            <w:r w:rsidRPr="00D7594A">
              <w:rPr>
                <w:rFonts w:cstheme="minorHAnsi"/>
              </w:rPr>
              <w:t xml:space="preserve"> oraz Hyper-V niezależnie od rodzaju </w:t>
            </w:r>
            <w:proofErr w:type="spellStart"/>
            <w:r w:rsidRPr="00D7594A">
              <w:rPr>
                <w:rFonts w:cstheme="minorHAnsi"/>
              </w:rPr>
              <w:t>storage’u</w:t>
            </w:r>
            <w:proofErr w:type="spellEnd"/>
            <w:r w:rsidRPr="00D7594A">
              <w:rPr>
                <w:rFonts w:cstheme="minorHAnsi"/>
              </w:rPr>
              <w:t xml:space="preserve"> użytego do przechowywania kopii zapasowych. 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Dodatkowo dla środowiska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 xml:space="preserve"> powyższa funkcjonalność powinna umożliwiać uruchomianie backupu z innych platform (inne </w:t>
            </w:r>
            <w:proofErr w:type="spellStart"/>
            <w:r w:rsidRPr="00D7594A">
              <w:rPr>
                <w:rFonts w:cstheme="minorHAnsi"/>
              </w:rPr>
              <w:t>wirtualizatory</w:t>
            </w:r>
            <w:proofErr w:type="spellEnd"/>
            <w:r w:rsidRPr="00D7594A">
              <w:rPr>
                <w:rFonts w:cstheme="minorHAnsi"/>
              </w:rPr>
              <w:t>, maszyny fizyczne oraz chmura publiczna).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pozwalać na migrację on-line tak uruchomionych maszyn na </w:t>
            </w:r>
            <w:proofErr w:type="spellStart"/>
            <w:r w:rsidRPr="00D7594A">
              <w:rPr>
                <w:rFonts w:cstheme="minorHAnsi"/>
              </w:rPr>
              <w:t>storage</w:t>
            </w:r>
            <w:proofErr w:type="spellEnd"/>
            <w:r w:rsidRPr="00D7594A">
              <w:rPr>
                <w:rFonts w:cstheme="minorHAnsi"/>
              </w:rPr>
              <w:t xml:space="preserve"> produkcyjny. Migracja powinna odbywać się mechanizmami wbudowanymi w </w:t>
            </w:r>
            <w:proofErr w:type="spellStart"/>
            <w:r w:rsidRPr="00D7594A">
              <w:rPr>
                <w:rFonts w:cstheme="minorHAnsi"/>
              </w:rPr>
              <w:t>hypervisor</w:t>
            </w:r>
            <w:proofErr w:type="spellEnd"/>
            <w:r w:rsidRPr="00D7594A">
              <w:rPr>
                <w:rFonts w:cstheme="minorHAnsi"/>
              </w:rPr>
              <w:t xml:space="preserve">. Jeżeli licencja na </w:t>
            </w:r>
            <w:proofErr w:type="spellStart"/>
            <w:r w:rsidRPr="00D7594A">
              <w:rPr>
                <w:rFonts w:cstheme="minorHAnsi"/>
              </w:rPr>
              <w:t>hypervisor</w:t>
            </w:r>
            <w:proofErr w:type="spellEnd"/>
            <w:r w:rsidRPr="00D7594A">
              <w:rPr>
                <w:rFonts w:cstheme="minorHAnsi"/>
              </w:rPr>
              <w:t xml:space="preserve"> nie posiada takich funkcjonalności - oprogramowanie musi realizować taką migrację swoimi mechanizmami.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pozwalać na zaprezentowanie pojedynczego dysku bezpośrednio z kopii zapasowej do wybranej działającej maszyny wirtualnej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umożliwiać min. pełne odtworzenie wirtualnej maszyny, plików konfiguracji i dysków.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umożliwiać pełne odtworzenie wirtualnej maszyny bezpośrednio do Microsoft </w:t>
            </w:r>
            <w:proofErr w:type="spellStart"/>
            <w:r w:rsidRPr="00D7594A">
              <w:rPr>
                <w:rFonts w:cstheme="minorHAnsi"/>
              </w:rPr>
              <w:t>Azure</w:t>
            </w:r>
            <w:proofErr w:type="spellEnd"/>
            <w:r w:rsidRPr="00D7594A">
              <w:rPr>
                <w:rFonts w:cstheme="minorHAnsi"/>
              </w:rPr>
              <w:t xml:space="preserve">, Microsoft </w:t>
            </w:r>
            <w:proofErr w:type="spellStart"/>
            <w:r w:rsidRPr="00D7594A">
              <w:rPr>
                <w:rFonts w:cstheme="minorHAnsi"/>
              </w:rPr>
              <w:t>Azure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Stack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umożliwić odtworzenie plików na maszynę operatora, lub na serwer produkcyjny bez potrzeby użycia agenta instalowanego wewnątrz wirtualnej maszyny. Funkcjonalność ta nie powinna być ograniczona wielkością i liczbą przywracanych plików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mieć możliwość odtworzenia plików bezpośrednio do maszyny wirtualnej poprzez sieć, przy pomocy VIX API dla platformy </w:t>
            </w:r>
            <w:proofErr w:type="spellStart"/>
            <w:r w:rsidRPr="00D7594A">
              <w:rPr>
                <w:rFonts w:cstheme="minorHAnsi"/>
              </w:rPr>
              <w:t>VMware</w:t>
            </w:r>
            <w:proofErr w:type="spellEnd"/>
            <w:r w:rsidRPr="00D7594A">
              <w:rPr>
                <w:rFonts w:cstheme="minorHAnsi"/>
              </w:rPr>
              <w:t xml:space="preserve"> i PowerShell Direct dla platformy Hyper-V.</w:t>
            </w:r>
          </w:p>
        </w:tc>
      </w:tr>
      <w:tr w:rsidR="003C6ADD" w:rsidRPr="001C58A8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49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wspierać odtwarzanie plików z następujących systemów plików:</w:t>
            </w:r>
          </w:p>
          <w:p w:rsidR="003C6ADD" w:rsidRPr="001C58A8" w:rsidRDefault="003C6ADD" w:rsidP="000F541D">
            <w:pPr>
              <w:pStyle w:val="Akapitzlist"/>
              <w:numPr>
                <w:ilvl w:val="0"/>
                <w:numId w:val="19"/>
              </w:numPr>
              <w:autoSpaceDN w:val="0"/>
              <w:spacing w:before="120" w:line="276" w:lineRule="auto"/>
              <w:jc w:val="both"/>
              <w:rPr>
                <w:rFonts w:cstheme="minorHAnsi"/>
                <w:lang w:val="en-US"/>
              </w:rPr>
            </w:pPr>
            <w:r w:rsidRPr="001C58A8">
              <w:rPr>
                <w:rFonts w:cstheme="minorHAnsi"/>
                <w:lang w:val="en-US"/>
              </w:rPr>
              <w:t xml:space="preserve">Dla </w:t>
            </w:r>
            <w:proofErr w:type="spellStart"/>
            <w:r w:rsidRPr="001C58A8">
              <w:rPr>
                <w:rFonts w:cstheme="minorHAnsi"/>
                <w:lang w:val="en-US"/>
              </w:rPr>
              <w:t>systemów</w:t>
            </w:r>
            <w:proofErr w:type="spellEnd"/>
            <w:r w:rsidRPr="001C58A8">
              <w:rPr>
                <w:rFonts w:cstheme="minorHAnsi"/>
                <w:lang w:val="en-US"/>
              </w:rPr>
              <w:t xml:space="preserve"> Linux: ext2, ext3, ext4, </w:t>
            </w:r>
            <w:proofErr w:type="spellStart"/>
            <w:r w:rsidRPr="001C58A8">
              <w:rPr>
                <w:rFonts w:cstheme="minorHAnsi"/>
                <w:lang w:val="en-US"/>
              </w:rPr>
              <w:t>ReiserFS</w:t>
            </w:r>
            <w:proofErr w:type="spellEnd"/>
            <w:r w:rsidRPr="001C58A8">
              <w:rPr>
                <w:rFonts w:cstheme="minorHAnsi"/>
                <w:lang w:val="en-US"/>
              </w:rPr>
              <w:t xml:space="preserve">, JFS, XFS, </w:t>
            </w:r>
            <w:proofErr w:type="spellStart"/>
            <w:r w:rsidRPr="001C58A8">
              <w:rPr>
                <w:rFonts w:cstheme="minorHAnsi"/>
                <w:lang w:val="en-US"/>
              </w:rPr>
              <w:t>Btrfs</w:t>
            </w:r>
            <w:proofErr w:type="spellEnd"/>
          </w:p>
          <w:p w:rsidR="003C6ADD" w:rsidRPr="001C58A8" w:rsidRDefault="003C6ADD" w:rsidP="000F541D">
            <w:pPr>
              <w:pStyle w:val="Akapitzlist"/>
              <w:numPr>
                <w:ilvl w:val="0"/>
                <w:numId w:val="19"/>
              </w:numPr>
              <w:autoSpaceDN w:val="0"/>
              <w:spacing w:before="120" w:line="276" w:lineRule="auto"/>
              <w:jc w:val="both"/>
              <w:rPr>
                <w:rFonts w:cstheme="minorHAnsi"/>
                <w:lang w:val="en-US"/>
              </w:rPr>
            </w:pPr>
            <w:r w:rsidRPr="001C58A8">
              <w:rPr>
                <w:rFonts w:cstheme="minorHAnsi"/>
                <w:lang w:val="en-US"/>
              </w:rPr>
              <w:t xml:space="preserve">Dla </w:t>
            </w:r>
            <w:proofErr w:type="spellStart"/>
            <w:r w:rsidRPr="001C58A8">
              <w:rPr>
                <w:rFonts w:cstheme="minorHAnsi"/>
                <w:lang w:val="en-US"/>
              </w:rPr>
              <w:t>systemów</w:t>
            </w:r>
            <w:proofErr w:type="spellEnd"/>
            <w:r w:rsidRPr="001C58A8">
              <w:rPr>
                <w:rFonts w:cstheme="minorHAnsi"/>
                <w:lang w:val="en-US"/>
              </w:rPr>
              <w:t xml:space="preserve"> Windows: NTFS, FAT, FAT32, </w:t>
            </w:r>
            <w:proofErr w:type="spellStart"/>
            <w:r w:rsidRPr="001C58A8">
              <w:rPr>
                <w:rFonts w:cstheme="minorHAnsi"/>
                <w:lang w:val="en-US"/>
              </w:rPr>
              <w:t>ReFS</w:t>
            </w:r>
            <w:proofErr w:type="spellEnd"/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przywracanie plików z partycji Linux LVM oraz Windows Storage </w:t>
            </w:r>
            <w:proofErr w:type="spellStart"/>
            <w:r w:rsidRPr="00D7594A">
              <w:rPr>
                <w:rFonts w:cstheme="minorHAnsi"/>
              </w:rPr>
              <w:t>Spaces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autoSpaceDN w:val="0"/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umożliwiać szybkie </w:t>
            </w:r>
            <w:proofErr w:type="spellStart"/>
            <w:r w:rsidRPr="00D7594A">
              <w:rPr>
                <w:rFonts w:cstheme="minorHAnsi"/>
              </w:rPr>
              <w:t>granularne</w:t>
            </w:r>
            <w:proofErr w:type="spellEnd"/>
            <w:r w:rsidRPr="00D7594A">
              <w:rPr>
                <w:rFonts w:cstheme="minorHAnsi"/>
              </w:rPr>
              <w:t xml:space="preserve"> odtwarzanie obiektów aplikacji bez użycia jakiegokolwiek agenta zainstalowanego wewnątrz maszyny wirtualnej.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</w:t>
            </w:r>
            <w:proofErr w:type="spellStart"/>
            <w:r w:rsidRPr="00D7594A">
              <w:rPr>
                <w:rFonts w:cstheme="minorHAnsi"/>
              </w:rPr>
              <w:t>granularne</w:t>
            </w:r>
            <w:proofErr w:type="spellEnd"/>
            <w:r w:rsidRPr="00D7594A">
              <w:rPr>
                <w:rFonts w:cstheme="minorHAnsi"/>
              </w:rPr>
              <w:t xml:space="preserve"> odtwarzanie dowolnych obiektów i dowolnych atrybutów Active Directory włączając hasło, obiekty </w:t>
            </w:r>
            <w:proofErr w:type="spellStart"/>
            <w:r w:rsidRPr="00D7594A">
              <w:rPr>
                <w:rFonts w:cstheme="minorHAnsi"/>
              </w:rPr>
              <w:t>Group</w:t>
            </w:r>
            <w:proofErr w:type="spellEnd"/>
            <w:r w:rsidRPr="00D7594A">
              <w:rPr>
                <w:rFonts w:cstheme="minorHAnsi"/>
              </w:rPr>
              <w:t xml:space="preserve"> Policy, partycja konfiguracji AD, rekordy DNS zintegrowane z AD, Microsoft System Objects, certyfikaty CA oraz elementy AD </w:t>
            </w:r>
            <w:proofErr w:type="spellStart"/>
            <w:r w:rsidRPr="00D7594A">
              <w:rPr>
                <w:rFonts w:cstheme="minorHAnsi"/>
              </w:rPr>
              <w:t>Sites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</w:t>
            </w:r>
            <w:proofErr w:type="spellStart"/>
            <w:r w:rsidRPr="00D7594A">
              <w:rPr>
                <w:rFonts w:cstheme="minorHAnsi"/>
              </w:rPr>
              <w:t>granularne</w:t>
            </w:r>
            <w:proofErr w:type="spellEnd"/>
            <w:r w:rsidRPr="00D7594A">
              <w:rPr>
                <w:rFonts w:cstheme="minorHAnsi"/>
              </w:rPr>
              <w:t xml:space="preserve"> odtwarzanie Microsoft Exchange  (dowolny obiekt w tym obiekty w folderze "</w:t>
            </w:r>
            <w:proofErr w:type="spellStart"/>
            <w:r w:rsidRPr="00D7594A">
              <w:rPr>
                <w:rFonts w:cstheme="minorHAnsi"/>
              </w:rPr>
              <w:t>Permanently</w:t>
            </w:r>
            <w:proofErr w:type="spellEnd"/>
            <w:r w:rsidRPr="00D7594A">
              <w:rPr>
                <w:rFonts w:cstheme="minorHAnsi"/>
              </w:rPr>
              <w:t xml:space="preserve"> </w:t>
            </w:r>
            <w:proofErr w:type="spellStart"/>
            <w:r w:rsidRPr="00D7594A">
              <w:rPr>
                <w:rFonts w:cstheme="minorHAnsi"/>
              </w:rPr>
              <w:t>Deleted</w:t>
            </w:r>
            <w:proofErr w:type="spellEnd"/>
            <w:r w:rsidRPr="00D7594A">
              <w:rPr>
                <w:rFonts w:cstheme="minorHAnsi"/>
              </w:rPr>
              <w:t xml:space="preserve"> Objects"), 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</w:t>
            </w:r>
            <w:proofErr w:type="spellStart"/>
            <w:r w:rsidRPr="00D7594A">
              <w:rPr>
                <w:rFonts w:cstheme="minorHAnsi"/>
              </w:rPr>
              <w:t>granularne</w:t>
            </w:r>
            <w:proofErr w:type="spellEnd"/>
            <w:r w:rsidRPr="00D7594A">
              <w:rPr>
                <w:rFonts w:cstheme="minorHAnsi"/>
              </w:rPr>
              <w:t xml:space="preserve"> odtwarzanie Microsoft SQL włączając bazy danych z opcją odtwarzania point-in-</w:t>
            </w:r>
            <w:proofErr w:type="spellStart"/>
            <w:r w:rsidRPr="00D7594A">
              <w:rPr>
                <w:rFonts w:cstheme="minorHAnsi"/>
              </w:rPr>
              <w:t>time</w:t>
            </w:r>
            <w:proofErr w:type="spellEnd"/>
            <w:r w:rsidRPr="00D7594A">
              <w:rPr>
                <w:rFonts w:cstheme="minorHAnsi"/>
              </w:rPr>
              <w:t>, tabele, schemat.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</w:t>
            </w:r>
            <w:proofErr w:type="spellStart"/>
            <w:r w:rsidRPr="00D7594A">
              <w:rPr>
                <w:rFonts w:cstheme="minorHAnsi"/>
              </w:rPr>
              <w:t>granularne</w:t>
            </w:r>
            <w:proofErr w:type="spellEnd"/>
            <w:r w:rsidRPr="00D7594A">
              <w:rPr>
                <w:rFonts w:cstheme="minorHAnsi"/>
              </w:rPr>
              <w:t xml:space="preserve"> odtwarzanie Microsoft </w:t>
            </w:r>
            <w:proofErr w:type="spellStart"/>
            <w:r w:rsidRPr="00D7594A">
              <w:rPr>
                <w:rFonts w:cstheme="minorHAnsi"/>
              </w:rPr>
              <w:t>Sharepoint</w:t>
            </w:r>
            <w:proofErr w:type="spellEnd"/>
            <w:r w:rsidRPr="00D7594A">
              <w:rPr>
                <w:rFonts w:cstheme="minorHAnsi"/>
              </w:rPr>
              <w:t>. Opcja odtworzenia elementów, witryn, uprawnień.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wspierać </w:t>
            </w:r>
            <w:proofErr w:type="spellStart"/>
            <w:r w:rsidRPr="00D7594A">
              <w:rPr>
                <w:rFonts w:cstheme="minorHAnsi"/>
              </w:rPr>
              <w:t>granularne</w:t>
            </w:r>
            <w:proofErr w:type="spellEnd"/>
            <w:r w:rsidRPr="00D7594A">
              <w:rPr>
                <w:rFonts w:cstheme="minorHAnsi"/>
              </w:rPr>
              <w:t xml:space="preserve"> odtwarzanie baz danych Oracle z opcją odtwarzanie point-in-</w:t>
            </w:r>
            <w:proofErr w:type="spellStart"/>
            <w:r w:rsidRPr="00D7594A">
              <w:rPr>
                <w:rFonts w:cstheme="minorHAnsi"/>
              </w:rPr>
              <w:t>time</w:t>
            </w:r>
            <w:proofErr w:type="spellEnd"/>
            <w:r w:rsidRPr="00D7594A">
              <w:rPr>
                <w:rFonts w:cstheme="minorHAnsi"/>
              </w:rPr>
              <w:t xml:space="preserve"> wraz z włączonym Oracle </w:t>
            </w:r>
            <w:proofErr w:type="spellStart"/>
            <w:r w:rsidRPr="00D7594A">
              <w:rPr>
                <w:rFonts w:cstheme="minorHAnsi"/>
              </w:rPr>
              <w:t>DataGuard</w:t>
            </w:r>
            <w:proofErr w:type="spellEnd"/>
            <w:r w:rsidRPr="00D7594A">
              <w:rPr>
                <w:rFonts w:cstheme="minorHAnsi"/>
              </w:rPr>
              <w:t>. Funkcjonalność ta musi być dostępna dla baz uruchomionych w środowiskach Windows oraz Linux.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pozwalać na zaprezentowanie baz MS SQL oraz Oracle bezpośrednio z pliku kopii zapasowej do działającego serwera bazodanowego.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posiadać natywną integrację dla backupów wykonywanych poprzez Oracle RMAN.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59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wspierać także specyficzne metody odtwarzania w tym "</w:t>
            </w:r>
            <w:proofErr w:type="spellStart"/>
            <w:r w:rsidRPr="00D7594A">
              <w:rPr>
                <w:rFonts w:cstheme="minorHAnsi"/>
              </w:rPr>
              <w:t>reverse</w:t>
            </w:r>
            <w:proofErr w:type="spellEnd"/>
            <w:r w:rsidRPr="00D7594A">
              <w:rPr>
                <w:rFonts w:cstheme="minorHAnsi"/>
              </w:rPr>
              <w:t xml:space="preserve"> CBT" oraz odtwarzanie z wykorzystaniem sieci SAN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dawać możliwość stworzenia laboratorium (izolowane środowisko) dla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 xml:space="preserve"> i Hyper-V używając wirtualnych maszyn uruchamianych bezpośrednio z plików backupu. Dla </w:t>
            </w:r>
            <w:proofErr w:type="spellStart"/>
            <w:r w:rsidRPr="00D7594A">
              <w:rPr>
                <w:rFonts w:cstheme="minorHAnsi"/>
              </w:rPr>
              <w:t>VMware’a</w:t>
            </w:r>
            <w:proofErr w:type="spellEnd"/>
            <w:r w:rsidRPr="00D7594A">
              <w:rPr>
                <w:rFonts w:cstheme="minorHAnsi"/>
              </w:rPr>
              <w:t xml:space="preserve"> oprogramowanie musi pozwalać na uruchomienie takiego środowiska bezpośrednio ze </w:t>
            </w:r>
            <w:proofErr w:type="spellStart"/>
            <w:r w:rsidRPr="00D7594A">
              <w:rPr>
                <w:rFonts w:cstheme="minorHAnsi"/>
              </w:rPr>
              <w:t>snapshotów</w:t>
            </w:r>
            <w:proofErr w:type="spellEnd"/>
            <w:r w:rsidRPr="00D7594A">
              <w:rPr>
                <w:rFonts w:cstheme="minorHAnsi"/>
              </w:rPr>
              <w:t xml:space="preserve"> macierzowych stworzonych na wspieranych urządzeniach.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przeprowadzone bez interakcji z administratorem.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mieć podobne mechanizmy dla replik w środowisku </w:t>
            </w:r>
            <w:proofErr w:type="spellStart"/>
            <w:r w:rsidRPr="00D7594A">
              <w:rPr>
                <w:rFonts w:cstheme="minorHAnsi"/>
              </w:rPr>
              <w:t>vSphere</w:t>
            </w:r>
            <w:proofErr w:type="spellEnd"/>
            <w:r w:rsidRPr="00D7594A">
              <w:rPr>
                <w:rFonts w:cstheme="minorHAnsi"/>
              </w:rPr>
              <w:t>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Oprogramowanie musi umożliwiać integrację z oprogramowaniem antywirusowym w celu wykonania skanu zawartości pliku backupowego przed odtworzeniem jakichkolwiek danych. Integracja musi być zapewniona minimalnie dla dwóch dostawców.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Oprogramowanie musi umożliwiać dwuetapowe, automatyczne, odtwarzanie maszyn wirtualnych z możliwością wstrzyknięcia dowolnego skryptu przed odtworzeniem danych do środowiska produkcyjnego. </w:t>
            </w:r>
          </w:p>
        </w:tc>
      </w:tr>
      <w:tr w:rsidR="003C6ADD" w:rsidRPr="00D7594A" w:rsidTr="003C6AD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D7594A">
              <w:rPr>
                <w:rFonts w:cstheme="minorHAnsi"/>
              </w:rPr>
              <w:t>64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Oferowane oprogramowanie winno być dostarczone z minimum dwuletnią (2)</w:t>
            </w:r>
            <w:r w:rsidRPr="00D7594A">
              <w:rPr>
                <w:rFonts w:cstheme="minorHAnsi"/>
                <w:b/>
                <w:bCs/>
              </w:rPr>
              <w:t xml:space="preserve"> </w:t>
            </w:r>
            <w:r w:rsidRPr="00D7594A">
              <w:rPr>
                <w:rFonts w:cstheme="minorHAnsi"/>
              </w:rPr>
              <w:t xml:space="preserve">gwarancją i wsparciem producenta oprogramowania. W ramach wsparcia musi istnieć możliwość zakładania zgłoszeń serwisowych przez stronę internetową producenta dostępną w trybie 24/7/365. 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Zgłoszone problemy mają być rozwiązywane minimum w dni robocze (poniedziałek – piątek) w godzinach 8:00-20:00.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W ramach wsparcia, Zamawiający musi mieć prawo do pobierania plików aktualizacji oferowanego oprogramowania, jak również do nowych wersji, które zostaną wydane w czasie jego obowiązywania.</w:t>
            </w:r>
          </w:p>
          <w:p w:rsidR="003C6ADD" w:rsidRPr="00D7594A" w:rsidRDefault="003C6ADD" w:rsidP="002E716A">
            <w:pPr>
              <w:spacing w:before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W przypadku wygaśnięcia wsparcia producenta, Zamawiający musi zachować możliwość wykorzystywania oprogramowania bez utraty jego funkcjonalności, a w szczególności dalszego wykonywania kopii zapasowych i ich odzyskiwania (licencje wieczyste).</w:t>
            </w:r>
          </w:p>
        </w:tc>
      </w:tr>
    </w:tbl>
    <w:p w:rsidR="00D46766" w:rsidRPr="00D7594A" w:rsidRDefault="00D46766" w:rsidP="00D46766">
      <w:pPr>
        <w:spacing w:line="276" w:lineRule="auto"/>
      </w:pPr>
    </w:p>
    <w:p w:rsidR="00D46766" w:rsidRPr="00D7594A" w:rsidRDefault="00D46766" w:rsidP="00D46766">
      <w:pPr>
        <w:pStyle w:val="Nagwek1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Przełącznik sieci LAN – 2 szt.</w:t>
      </w:r>
    </w:p>
    <w:tbl>
      <w:tblPr>
        <w:tblW w:w="5084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8786"/>
      </w:tblGrid>
      <w:tr w:rsidR="003C6ADD" w:rsidRPr="00D7594A" w:rsidTr="003C6ADD">
        <w:trPr>
          <w:trHeight w:val="3366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  <w:b/>
              </w:rPr>
            </w:pPr>
            <w:r w:rsidRPr="00D7594A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476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  <w:b/>
              </w:rPr>
            </w:pPr>
            <w:r w:rsidRPr="00D7594A">
              <w:rPr>
                <w:rFonts w:cstheme="minorHAnsi"/>
                <w:b/>
                <w:bCs/>
              </w:rPr>
              <w:t>Wymagania Minimalne</w:t>
            </w:r>
          </w:p>
        </w:tc>
      </w:tr>
      <w:tr w:rsidR="003C6ADD" w:rsidRPr="00D7594A" w:rsidTr="003C6ADD">
        <w:trPr>
          <w:trHeight w:val="30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Typ Obudowy: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Obudowa do montażu w szafie RACK 19” – 1U wraz z zestawem montażowym.</w:t>
            </w:r>
          </w:p>
        </w:tc>
      </w:tr>
      <w:tr w:rsidR="003C6ADD" w:rsidRPr="00D7594A" w:rsidTr="003C6ADD">
        <w:trPr>
          <w:trHeight w:val="30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Porty: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- 24 szt. 10 </w:t>
            </w:r>
            <w:proofErr w:type="spellStart"/>
            <w:r w:rsidRPr="00D7594A">
              <w:rPr>
                <w:rFonts w:cstheme="minorHAnsi"/>
              </w:rPr>
              <w:t>Gbps</w:t>
            </w:r>
            <w:proofErr w:type="spellEnd"/>
            <w:r w:rsidRPr="00D7594A">
              <w:rPr>
                <w:rFonts w:cstheme="minorHAnsi"/>
              </w:rPr>
              <w:t xml:space="preserve"> SFP+,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- 4 szt. 25Gbps SFP28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  <w:lang w:val="en-US"/>
              </w:rPr>
            </w:pPr>
            <w:r w:rsidRPr="00D7594A">
              <w:rPr>
                <w:rFonts w:cstheme="minorHAnsi"/>
                <w:lang w:val="en-US"/>
              </w:rPr>
              <w:t xml:space="preserve">- Port </w:t>
            </w:r>
            <w:proofErr w:type="spellStart"/>
            <w:r w:rsidRPr="00D7594A">
              <w:rPr>
                <w:rFonts w:cstheme="minorHAnsi"/>
                <w:lang w:val="en-US"/>
              </w:rPr>
              <w:t>zarządzania</w:t>
            </w:r>
            <w:proofErr w:type="spellEnd"/>
            <w:r w:rsidRPr="00D7594A">
              <w:rPr>
                <w:rFonts w:cstheme="minorHAnsi"/>
                <w:lang w:val="en-US"/>
              </w:rPr>
              <w:t xml:space="preserve"> Out-of-band 1 x RJ45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minimum 2 x USB </w:t>
            </w:r>
            <w:proofErr w:type="spellStart"/>
            <w:r w:rsidRPr="00D7594A">
              <w:rPr>
                <w:rFonts w:cstheme="minorHAnsi"/>
              </w:rPr>
              <w:t>type</w:t>
            </w:r>
            <w:proofErr w:type="spellEnd"/>
            <w:r w:rsidRPr="00D7594A">
              <w:rPr>
                <w:rFonts w:cstheme="minorHAnsi"/>
              </w:rPr>
              <w:t xml:space="preserve"> A lub C dopuszcza się oba typy portów,</w:t>
            </w:r>
          </w:p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Musi umożliwiać zestawienie stosu portami/magistralami minimum, 25GbE Full Duplex 10GbE (do min 6 urządzeń).</w:t>
            </w:r>
          </w:p>
        </w:tc>
      </w:tr>
      <w:tr w:rsidR="003C6ADD" w:rsidRPr="00D7594A" w:rsidTr="003C6ADD">
        <w:trPr>
          <w:trHeight w:val="6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Wydajność: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Przepustowość przełącznika minimum 650Gb/s.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Wydajność przełączania minimum 500Mpps. 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Obsługa minimum 16,000 adresów MAC.</w:t>
            </w:r>
          </w:p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Bufor pakietów minimum 28Mb</w:t>
            </w:r>
          </w:p>
        </w:tc>
      </w:tr>
      <w:tr w:rsidR="003C6ADD" w:rsidRPr="00D7594A" w:rsidTr="003C6ADD">
        <w:trPr>
          <w:trHeight w:val="6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Zasilanie:</w:t>
            </w:r>
          </w:p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Redundantne zasilanie 230V AC</w:t>
            </w:r>
          </w:p>
        </w:tc>
      </w:tr>
      <w:tr w:rsidR="003C6ADD" w:rsidRPr="00D7594A" w:rsidTr="003C6ADD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Funkcje i protokoły: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Musi obsługiwać następujące protokoły drzewa rozpinającego: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802.1D – STP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802.1w – RSTP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802.1s – MSTP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Musi obsługiwać jeden z protokołów do tworzenia wirtualnych nadmiarowych bram sieciowych np. (VRRP lub HSRP),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Obsługa </w:t>
            </w:r>
            <w:proofErr w:type="spellStart"/>
            <w:r w:rsidRPr="00D7594A">
              <w:rPr>
                <w:rFonts w:cstheme="minorHAnsi"/>
              </w:rPr>
              <w:t>multicastów</w:t>
            </w:r>
            <w:proofErr w:type="spellEnd"/>
            <w:r w:rsidRPr="00D7594A">
              <w:rPr>
                <w:rFonts w:cstheme="minorHAnsi"/>
              </w:rPr>
              <w:t xml:space="preserve"> z wykorzystaniem protokołów: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IGMP,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IGMP </w:t>
            </w:r>
            <w:proofErr w:type="spellStart"/>
            <w:r w:rsidRPr="00D7594A">
              <w:rPr>
                <w:rFonts w:cstheme="minorHAnsi"/>
              </w:rPr>
              <w:t>Snooping</w:t>
            </w:r>
            <w:proofErr w:type="spellEnd"/>
            <w:r w:rsidRPr="00D7594A">
              <w:rPr>
                <w:rFonts w:cstheme="minorHAnsi"/>
              </w:rPr>
              <w:t>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PIM-SM,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PIM-DM,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monitorowania ruchu na porcie (Port Mirroring),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konfiguracji routingu statycznego dla protokołów IPv4 oraz IPv6,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Musi obsługiwać następujące protokoły routingu: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RIPv2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OSPFv2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OSPFv3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Musi obsługiwać protokół </w:t>
            </w:r>
            <w:proofErr w:type="spellStart"/>
            <w:r w:rsidRPr="00D7594A">
              <w:rPr>
                <w:rFonts w:cstheme="minorHAnsi"/>
              </w:rPr>
              <w:t>wieloscieżkowości</w:t>
            </w:r>
            <w:proofErr w:type="spellEnd"/>
            <w:r w:rsidRPr="00D7594A">
              <w:rPr>
                <w:rFonts w:cstheme="minorHAnsi"/>
              </w:rPr>
              <w:t xml:space="preserve"> ECMP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agregacji połączeń z wykorzystaniem protokołu LACP – IEEE 802.3ad,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Musi obsługiwać następujące protokoły odnajdywania urządzeń w sieci: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LLDP,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LLDP-MED,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Musi obsługiwać następujące protokoły autoryzacji: 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TACACS+,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RADIUS,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Autoryzacja użytkowników w oparciu o IEEE 802.1X z możliwością dynamicznego przypisania użytkownika do określonej sieci VLAN,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Musi obsługiwać możliwość uruchomienia serwera DHCP dla IPv4 oraz IPv6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uwierzytelniania urządzeń na porcie w oparciu o adres MAC,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Musi obsługiwać następujące protokoły synchronizacji czasu: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SNTP</w:t>
            </w:r>
          </w:p>
          <w:p w:rsidR="003C6ADD" w:rsidRPr="00D7594A" w:rsidRDefault="003C6ADD" w:rsidP="000F541D">
            <w:pPr>
              <w:pStyle w:val="Akapitzlist"/>
              <w:numPr>
                <w:ilvl w:val="0"/>
                <w:numId w:val="22"/>
              </w:numPr>
              <w:spacing w:after="0"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PTP</w:t>
            </w:r>
          </w:p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Musi obsługiwać </w:t>
            </w:r>
            <w:proofErr w:type="spellStart"/>
            <w:r w:rsidRPr="00D7594A">
              <w:rPr>
                <w:rFonts w:cstheme="minorHAnsi"/>
              </w:rPr>
              <w:t>protkoł</w:t>
            </w:r>
            <w:proofErr w:type="spellEnd"/>
            <w:r w:rsidRPr="00D7594A">
              <w:rPr>
                <w:rFonts w:cstheme="minorHAnsi"/>
              </w:rPr>
              <w:t xml:space="preserve"> weryfikacji łączy - UDLD</w:t>
            </w:r>
          </w:p>
        </w:tc>
      </w:tr>
      <w:tr w:rsidR="003C6ADD" w:rsidRPr="00D7594A" w:rsidTr="003C6ADD">
        <w:trPr>
          <w:trHeight w:val="1091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Zarządzanie: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Posiada tekstowy interfejs zarządzania z podpowiedziami kontekstowymi,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Posiada tekstowy plik konfiguracyjny możliwy do wyeksportowania, edytowania poza urządzeniem i ponownego zaimportowania do urządzenia,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zarządzania urządzeniem z wykorzystaniem protokołów SSHv2 oraz TELNET,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zarządzania poprzez przeglądarkę internetową wykorzystując graficzny interfejs użytkownika (GUI),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Umożliwiający bezpośredni dostęp do interfejsu zarządzania z wykorzystaniem dedykowanego portu szeregowego lub jego emulacji,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Obsługujący wysyłanie powiadomień o zdarzeniach z użyciem protokołów SNMPv1, SNMPv2c oraz SNMPv3,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 xml:space="preserve">- Obsługuje protokół </w:t>
            </w:r>
            <w:proofErr w:type="spellStart"/>
            <w:r w:rsidRPr="00D7594A">
              <w:rPr>
                <w:rFonts w:cstheme="minorHAnsi"/>
              </w:rPr>
              <w:t>sFLOW</w:t>
            </w:r>
            <w:proofErr w:type="spellEnd"/>
            <w:r w:rsidRPr="00D7594A">
              <w:rPr>
                <w:rFonts w:cstheme="minorHAnsi"/>
              </w:rPr>
              <w:t xml:space="preserve"> lub </w:t>
            </w:r>
            <w:proofErr w:type="spellStart"/>
            <w:r w:rsidRPr="00D7594A">
              <w:rPr>
                <w:rFonts w:cstheme="minorHAnsi"/>
              </w:rPr>
              <w:t>Netflow</w:t>
            </w:r>
            <w:proofErr w:type="spellEnd"/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Umożliwiający przesyłanie dzienników zdarzeń z wykorzystaniem protokołu SYSLOG,</w:t>
            </w:r>
          </w:p>
          <w:p w:rsidR="003C6ADD" w:rsidRPr="00D7594A" w:rsidRDefault="003C6ADD" w:rsidP="002E716A">
            <w:pPr>
              <w:spacing w:after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- Możliwość konfiguracji pracy w trybie klienta DNS,</w:t>
            </w:r>
          </w:p>
        </w:tc>
      </w:tr>
      <w:tr w:rsidR="003C6ADD" w:rsidRPr="00D7594A" w:rsidTr="003C6ADD">
        <w:trPr>
          <w:trHeight w:val="1091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Wyposażenie dodatkowe: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Każdy z przełączników musi zostać dostarczony z następującym zestawem elementów: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- 1 szt. DAC SFP28 do SFP28 25Gbps  o długości 1m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- 4 szt. DAC SFP+ do SFP+ 10Gbps  o długości 3m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- 4 szt. wkładki SFP+ 10Gbps SR 850nm DDM MMF ze złączem LC</w:t>
            </w:r>
          </w:p>
          <w:p w:rsidR="003C6ADD" w:rsidRPr="00D7594A" w:rsidRDefault="003C6ADD" w:rsidP="002E716A">
            <w:pPr>
              <w:spacing w:line="276" w:lineRule="auto"/>
              <w:rPr>
                <w:rFonts w:cstheme="minorHAnsi"/>
              </w:rPr>
            </w:pPr>
            <w:r w:rsidRPr="00D7594A">
              <w:rPr>
                <w:rFonts w:cstheme="minorHAnsi"/>
              </w:rPr>
              <w:t>Zamawiający dopuszcza wkładki i kable DAC pochodzące od innego producenta niż producent oferowanego przełącznika.</w:t>
            </w:r>
          </w:p>
        </w:tc>
      </w:tr>
      <w:tr w:rsidR="003C6ADD" w:rsidRPr="00D7594A" w:rsidTr="003C6ADD">
        <w:trPr>
          <w:trHeight w:val="300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23"/>
              </w:numPr>
              <w:spacing w:before="36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ADD" w:rsidRPr="00D7594A" w:rsidRDefault="003C6ADD" w:rsidP="002E716A">
            <w:pPr>
              <w:suppressAutoHyphens/>
              <w:spacing w:after="120" w:line="276" w:lineRule="auto"/>
              <w:jc w:val="both"/>
              <w:rPr>
                <w:rFonts w:cstheme="minorHAnsi"/>
              </w:rPr>
            </w:pPr>
            <w:r w:rsidRPr="00D7594A">
              <w:rPr>
                <w:rFonts w:cstheme="minorHAnsi"/>
              </w:rPr>
              <w:t>Gwarancja na poziomie wieczystej ograniczonej gwarancji producenta.</w:t>
            </w:r>
          </w:p>
        </w:tc>
      </w:tr>
    </w:tbl>
    <w:p w:rsidR="00D46766" w:rsidRPr="00D7594A" w:rsidRDefault="00D46766" w:rsidP="00D46766">
      <w:pPr>
        <w:spacing w:line="276" w:lineRule="auto"/>
      </w:pPr>
    </w:p>
    <w:p w:rsidR="00D46766" w:rsidRPr="00D7594A" w:rsidRDefault="00D46766" w:rsidP="00D46766">
      <w:pPr>
        <w:pStyle w:val="Nagwek1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Oprogramowanie do monitorowania infrastruktury – 1 komplet.</w:t>
      </w:r>
    </w:p>
    <w:tbl>
      <w:tblPr>
        <w:tblW w:w="5397" w:type="pct"/>
        <w:tblInd w:w="-572" w:type="dxa"/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3"/>
        <w:gridCol w:w="8929"/>
      </w:tblGrid>
      <w:tr w:rsidR="003C6ADD" w:rsidRPr="00D7594A" w:rsidTr="003C6ADD">
        <w:trPr>
          <w:trHeight w:val="606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b/>
                <w:color w:val="000000"/>
                <w:lang w:val="en-US"/>
              </w:rPr>
            </w:pPr>
            <w:r w:rsidRPr="00D7594A">
              <w:rPr>
                <w:rFonts w:cstheme="minorHAnsi"/>
                <w:b/>
              </w:rPr>
              <w:t>Lp.</w:t>
            </w:r>
          </w:p>
        </w:tc>
        <w:tc>
          <w:tcPr>
            <w:tcW w:w="456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b/>
                <w:color w:val="000000"/>
                <w:lang w:val="en-US"/>
              </w:rPr>
            </w:pPr>
            <w:r w:rsidRPr="00D7594A">
              <w:rPr>
                <w:rFonts w:cstheme="minorHAnsi"/>
                <w:b/>
              </w:rPr>
              <w:t>Wymagania Minimalne</w:t>
            </w:r>
          </w:p>
        </w:tc>
      </w:tr>
      <w:tr w:rsidR="003C6ADD" w:rsidRPr="00D7594A" w:rsidTr="003C6ADD">
        <w:trPr>
          <w:trHeight w:val="606"/>
        </w:trPr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b/>
                <w:color w:val="000000"/>
                <w:lang w:val="en-US"/>
              </w:rPr>
            </w:pPr>
          </w:p>
        </w:tc>
        <w:tc>
          <w:tcPr>
            <w:tcW w:w="456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b/>
                <w:lang w:val="en-US"/>
              </w:rPr>
            </w:pPr>
          </w:p>
        </w:tc>
      </w:tr>
      <w:tr w:rsidR="003C6ADD" w:rsidRPr="00D7594A" w:rsidTr="003C6ADD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30"/>
              </w:numPr>
              <w:spacing w:after="0" w:line="276" w:lineRule="auto"/>
              <w:rPr>
                <w:rFonts w:eastAsia="Calibri"/>
                <w:color w:val="000000"/>
                <w:lang w:val="en-US"/>
              </w:rPr>
            </w:pPr>
          </w:p>
        </w:tc>
        <w:tc>
          <w:tcPr>
            <w:tcW w:w="4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Oprogramowanie dostępne w formie min.: pakietów instalacyjnych oraz obrazu OVA.</w:t>
            </w:r>
          </w:p>
        </w:tc>
      </w:tr>
      <w:tr w:rsidR="003C6ADD" w:rsidRPr="00D7594A" w:rsidTr="003C6ADD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30"/>
              </w:numPr>
              <w:spacing w:after="0" w:line="276" w:lineRule="auto"/>
              <w:rPr>
                <w:rFonts w:eastAsia="Calibri"/>
                <w:color w:val="000000"/>
              </w:rPr>
            </w:pPr>
          </w:p>
        </w:tc>
        <w:tc>
          <w:tcPr>
            <w:tcW w:w="4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 xml:space="preserve">Oprogramowanie musi działać na systemach z rodziny Linux. Wymagana kompatybilność/rekomendacja dystrybucji </w:t>
            </w:r>
            <w:proofErr w:type="spellStart"/>
            <w:r w:rsidRPr="00D7594A">
              <w:rPr>
                <w:rFonts w:eastAsia="Calibri"/>
                <w:color w:val="000000"/>
              </w:rPr>
              <w:t>Ubuntu</w:t>
            </w:r>
            <w:proofErr w:type="spellEnd"/>
            <w:r w:rsidRPr="00D7594A">
              <w:rPr>
                <w:rFonts w:eastAsia="Calibri"/>
                <w:color w:val="000000"/>
              </w:rPr>
              <w:t xml:space="preserve"> w wersji co najmniej 22.04.</w:t>
            </w:r>
          </w:p>
        </w:tc>
      </w:tr>
      <w:tr w:rsidR="003C6ADD" w:rsidRPr="00D7594A" w:rsidTr="003C6ADD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6ADD" w:rsidRPr="001C58A8" w:rsidRDefault="003C6ADD" w:rsidP="000F541D">
            <w:pPr>
              <w:pStyle w:val="Akapitzlist"/>
              <w:numPr>
                <w:ilvl w:val="0"/>
                <w:numId w:val="30"/>
              </w:numPr>
              <w:spacing w:after="0" w:line="276" w:lineRule="auto"/>
              <w:rPr>
                <w:rFonts w:eastAsia="Calibri"/>
                <w:color w:val="000000"/>
              </w:rPr>
            </w:pPr>
          </w:p>
        </w:tc>
        <w:tc>
          <w:tcPr>
            <w:tcW w:w="4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Oprogramowanie musi umożliwiać instalację z podziałem na komponenty, min.: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  <w:lang w:val="en-US"/>
              </w:rPr>
            </w:pPr>
            <w:r w:rsidRPr="00D7594A">
              <w:rPr>
                <w:rFonts w:eastAsia="Calibri"/>
                <w:color w:val="000000"/>
                <w:lang w:val="en-US"/>
              </w:rPr>
              <w:t>Serwer (ang. server)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  <w:lang w:val="en-US"/>
              </w:rPr>
            </w:pPr>
            <w:r w:rsidRPr="00D7594A">
              <w:rPr>
                <w:rFonts w:eastAsia="Calibri"/>
                <w:color w:val="000000"/>
                <w:lang w:val="en-US"/>
              </w:rPr>
              <w:t xml:space="preserve">System </w:t>
            </w:r>
            <w:proofErr w:type="spellStart"/>
            <w:r w:rsidRPr="00D7594A">
              <w:rPr>
                <w:rFonts w:eastAsia="Calibri"/>
                <w:color w:val="000000"/>
                <w:lang w:val="en-US"/>
              </w:rPr>
              <w:t>indeksujący</w:t>
            </w:r>
            <w:proofErr w:type="spellEnd"/>
            <w:r w:rsidRPr="00D7594A">
              <w:rPr>
                <w:rFonts w:eastAsia="Calibri"/>
                <w:color w:val="000000"/>
                <w:lang w:val="en-US"/>
              </w:rPr>
              <w:t xml:space="preserve"> (</w:t>
            </w:r>
            <w:proofErr w:type="spellStart"/>
            <w:r w:rsidRPr="00D7594A">
              <w:rPr>
                <w:rFonts w:eastAsia="Calibri"/>
                <w:color w:val="000000"/>
                <w:lang w:val="en-US"/>
              </w:rPr>
              <w:t>ang.</w:t>
            </w:r>
            <w:proofErr w:type="spellEnd"/>
            <w:r w:rsidRPr="00D7594A">
              <w:rPr>
                <w:rFonts w:eastAsia="Calibri"/>
                <w:color w:val="000000"/>
                <w:lang w:val="en-US"/>
              </w:rPr>
              <w:t xml:space="preserve"> indexer)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Agent</w:t>
            </w:r>
          </w:p>
        </w:tc>
      </w:tr>
      <w:tr w:rsidR="003C6ADD" w:rsidRPr="00D7594A" w:rsidTr="003C6ADD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6ADD" w:rsidRPr="00D7594A" w:rsidRDefault="003C6ADD" w:rsidP="000F541D">
            <w:pPr>
              <w:pStyle w:val="Akapitzlist"/>
              <w:numPr>
                <w:ilvl w:val="0"/>
                <w:numId w:val="30"/>
              </w:numPr>
              <w:spacing w:after="0" w:line="276" w:lineRule="auto"/>
              <w:rPr>
                <w:rFonts w:eastAsia="Calibri"/>
                <w:color w:val="000000"/>
                <w:lang w:val="en-US"/>
              </w:rPr>
            </w:pPr>
          </w:p>
        </w:tc>
        <w:tc>
          <w:tcPr>
            <w:tcW w:w="4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 xml:space="preserve">Oprogramowanie musi umożliwiać wdrożenie w następujących </w:t>
            </w:r>
            <w:proofErr w:type="spellStart"/>
            <w:r w:rsidRPr="00D7594A">
              <w:rPr>
                <w:rFonts w:eastAsia="Calibri"/>
                <w:color w:val="000000"/>
              </w:rPr>
              <w:t>architekturach</w:t>
            </w:r>
            <w:proofErr w:type="spellEnd"/>
            <w:r w:rsidRPr="00D7594A">
              <w:rPr>
                <w:rFonts w:eastAsia="Calibri"/>
                <w:color w:val="000000"/>
              </w:rPr>
              <w:t>: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Wszystko w jednym (</w:t>
            </w:r>
            <w:proofErr w:type="spellStart"/>
            <w:r w:rsidRPr="00D7594A">
              <w:rPr>
                <w:rFonts w:eastAsia="Calibri"/>
                <w:color w:val="000000"/>
              </w:rPr>
              <w:t>All</w:t>
            </w:r>
            <w:proofErr w:type="spellEnd"/>
            <w:r w:rsidRPr="00D7594A">
              <w:rPr>
                <w:rFonts w:eastAsia="Calibri"/>
                <w:color w:val="000000"/>
              </w:rPr>
              <w:t>-In-One) – wszystkie komponenty uruchomione na jednym systemie operacyjnym,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Rozproszona (Mul</w:t>
            </w:r>
            <w:r>
              <w:rPr>
                <w:rFonts w:eastAsia="Calibri"/>
                <w:color w:val="000000"/>
              </w:rPr>
              <w:t>ti-</w:t>
            </w:r>
            <w:proofErr w:type="spellStart"/>
            <w:r>
              <w:rPr>
                <w:rFonts w:eastAsia="Calibri"/>
                <w:color w:val="000000"/>
              </w:rPr>
              <w:t>node</w:t>
            </w:r>
            <w:proofErr w:type="spellEnd"/>
            <w:r>
              <w:rPr>
                <w:rFonts w:eastAsia="Calibri"/>
                <w:color w:val="000000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</w:rPr>
              <w:t>deployment</w:t>
            </w:r>
            <w:proofErr w:type="spellEnd"/>
            <w:r>
              <w:rPr>
                <w:rFonts w:eastAsia="Calibri"/>
                <w:color w:val="000000"/>
              </w:rPr>
              <w:t>) – poszczegól</w:t>
            </w:r>
            <w:r w:rsidRPr="00D7594A">
              <w:rPr>
                <w:rFonts w:eastAsia="Calibri"/>
                <w:color w:val="000000"/>
              </w:rPr>
              <w:t>ne komponenty systemu uruchamiane na dedykowanych instalacjach systemu operacyjnego.</w:t>
            </w:r>
          </w:p>
        </w:tc>
      </w:tr>
      <w:tr w:rsidR="003C6ADD" w:rsidRPr="00D7594A" w:rsidTr="003C6ADD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6ADD" w:rsidRPr="001C58A8" w:rsidRDefault="003C6ADD" w:rsidP="000F541D">
            <w:pPr>
              <w:pStyle w:val="Akapitzlist"/>
              <w:numPr>
                <w:ilvl w:val="0"/>
                <w:numId w:val="30"/>
              </w:numPr>
              <w:spacing w:after="0" w:line="276" w:lineRule="auto"/>
              <w:rPr>
                <w:rFonts w:eastAsia="Calibri"/>
                <w:color w:val="000000"/>
              </w:rPr>
            </w:pPr>
          </w:p>
        </w:tc>
        <w:tc>
          <w:tcPr>
            <w:tcW w:w="4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Minimalne funkcjonalności oprogramowania: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Monitorowanie występujących zdarzeń (logów) w trybie ciągłym,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Zbieranie zdarzeń z serwerów wirtualnych, fizycznych, Active Directory, przełączników oraz innego rodzaju urządzeń, które są oraz zostaną podłączone do infrastruktury Zamawiającego,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Agregacja oraz korelacja logów,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 xml:space="preserve">Wykrywanie ataków typu </w:t>
            </w:r>
            <w:proofErr w:type="spellStart"/>
            <w:r w:rsidRPr="00D7594A">
              <w:rPr>
                <w:rFonts w:eastAsia="Calibri"/>
                <w:color w:val="000000"/>
              </w:rPr>
              <w:t>brute</w:t>
            </w:r>
            <w:proofErr w:type="spellEnd"/>
            <w:r w:rsidRPr="00D7594A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D7594A">
              <w:rPr>
                <w:rFonts w:eastAsia="Calibri"/>
                <w:color w:val="000000"/>
              </w:rPr>
              <w:t>force</w:t>
            </w:r>
            <w:proofErr w:type="spellEnd"/>
            <w:r w:rsidRPr="00D7594A">
              <w:rPr>
                <w:rFonts w:eastAsia="Calibri"/>
                <w:color w:val="000000"/>
              </w:rPr>
              <w:t xml:space="preserve"> na różne usługi Zamawiającego,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Wykrywanie i przeciwdziałanie złośliwemu oprogramowaniu,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Analiza logów w oparciu o wbudowane reguły bezpieczeństwa,</w:t>
            </w:r>
          </w:p>
          <w:p w:rsidR="003C6ADD" w:rsidRPr="00D7594A" w:rsidRDefault="003C6ADD" w:rsidP="002E716A">
            <w:pPr>
              <w:spacing w:line="276" w:lineRule="auto"/>
              <w:rPr>
                <w:rFonts w:eastAsia="Calibri"/>
                <w:color w:val="000000"/>
              </w:rPr>
            </w:pPr>
            <w:r w:rsidRPr="00D7594A">
              <w:rPr>
                <w:rFonts w:eastAsia="Calibri"/>
                <w:color w:val="000000"/>
              </w:rPr>
              <w:t>Panel do wyszukiwania zdarzeń.</w:t>
            </w:r>
          </w:p>
        </w:tc>
      </w:tr>
    </w:tbl>
    <w:p w:rsidR="00D46766" w:rsidRPr="00D7594A" w:rsidRDefault="00D46766" w:rsidP="00D46766">
      <w:pPr>
        <w:pStyle w:val="Nagwek1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D7594A">
        <w:rPr>
          <w:rFonts w:asciiTheme="minorHAnsi" w:hAnsiTheme="minorHAnsi" w:cstheme="minorHAnsi"/>
          <w:b/>
          <w:bCs/>
          <w:color w:val="auto"/>
          <w:sz w:val="20"/>
          <w:szCs w:val="20"/>
        </w:rPr>
        <w:t>Usługi wdrożeniowe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Zamawiający wymaga zrealizowania kompleksowej dostawy, montażu i wdrożenia rozwiązania przy uwzględnieniu kompleksowego działania całości środowiska informatycznego</w:t>
      </w:r>
      <w:r>
        <w:rPr>
          <w:rFonts w:cstheme="minorHAnsi"/>
        </w:rPr>
        <w:t xml:space="preserve">, </w:t>
      </w:r>
      <w:r w:rsidRPr="00414CBC">
        <w:rPr>
          <w:rFonts w:cstheme="minorHAnsi"/>
        </w:rPr>
        <w:t xml:space="preserve">a także </w:t>
      </w:r>
      <w:r>
        <w:rPr>
          <w:rFonts w:cstheme="minorHAnsi"/>
        </w:rPr>
        <w:t>prze</w:t>
      </w:r>
      <w:r w:rsidRPr="00414CBC">
        <w:rPr>
          <w:rFonts w:cstheme="minorHAnsi"/>
        </w:rPr>
        <w:t>szkolenia pracownika IT Zamawiającego w zakresie obsługi</w:t>
      </w:r>
      <w:r>
        <w:rPr>
          <w:rFonts w:cstheme="minorHAnsi"/>
        </w:rPr>
        <w:t xml:space="preserve"> </w:t>
      </w:r>
      <w:r w:rsidRPr="00414CBC">
        <w:rPr>
          <w:rFonts w:cstheme="minorHAnsi"/>
        </w:rPr>
        <w:t>oraz utrzymania wdrożonych rozwiązań</w:t>
      </w:r>
      <w:r w:rsidRPr="00D7594A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Zamawiający wymaga wyznaczenia osoby w postaci Kierownika Projektu po stronie Wykonawcy, jako pojedynczego punktu kontaktowego w zakresie: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Uzgodnienia harmonogramu prowadzonych prac,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Koordynowania i uzgadniania terminów dostaw,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Nadzorowania procesu i kompletności realizowania usług związanych z wdrożeniem,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Sporządzania protokołów dostaw i realizacji częściowej/całościowej zakresu wdrożenia.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Zamawiający, w oparciu o własną wiedzę i doświadczenie, wyspecyfikował niezbędne elementy połączeniowe (wkładki, okablowanie), natomiast w przypadku gdy zajdzie taka potrzeba, wraz z dostarczoną Infrastrukturą, Wykonawca zobowiązany jest dostarczyć niezbędne elementy np. urządzenia i wyposażenie, uznane przez Wykonawcę za niezbędne i umożliwiające prawidłowe działanie całego Systemu. Dostarczona Infrastruktura musi zapewniać bezproblemową pracę po podłączeniu jej do infrastruktury Zamawiającego.  </w:t>
      </w:r>
    </w:p>
    <w:p w:rsidR="00D46766" w:rsidRPr="00D7594A" w:rsidRDefault="00D46766" w:rsidP="000F541D">
      <w:pPr>
        <w:pStyle w:val="Akapitzlist"/>
        <w:numPr>
          <w:ilvl w:val="0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 xml:space="preserve">Usługi w zakresie Serwerów </w:t>
      </w:r>
      <w:proofErr w:type="spellStart"/>
      <w:r w:rsidRPr="00D7594A">
        <w:rPr>
          <w:rFonts w:cs="Arial"/>
        </w:rPr>
        <w:t>Rack</w:t>
      </w:r>
      <w:proofErr w:type="spellEnd"/>
      <w:r w:rsidRPr="00D7594A">
        <w:rPr>
          <w:rFonts w:cs="Arial"/>
        </w:rPr>
        <w:t xml:space="preserve"> Typ 1 i Typ 2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Montaż serwerów w ustalonej lokalizacji i szafie RACK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Podłączenie okablowania sieci LAN/SAN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Podłączenie zasilania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Konfiguracja serwerów obejmująca min.: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adresacji IP interfejsu zarządzania,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synchronizację czasu urządzenia z serwerami NTP,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aktualizację oprogramowania układowego do rekomendowanej przez producenta wersji.</w:t>
      </w:r>
    </w:p>
    <w:p w:rsidR="00D46766" w:rsidRPr="00D7594A" w:rsidRDefault="00D46766" w:rsidP="00D46766">
      <w:pPr>
        <w:spacing w:line="276" w:lineRule="auto"/>
        <w:jc w:val="both"/>
        <w:rPr>
          <w:rFonts w:cs="Arial"/>
        </w:rPr>
      </w:pPr>
    </w:p>
    <w:p w:rsidR="00D46766" w:rsidRPr="00D7594A" w:rsidRDefault="00D46766" w:rsidP="000F541D">
      <w:pPr>
        <w:pStyle w:val="Akapitzlist"/>
        <w:numPr>
          <w:ilvl w:val="0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Usługi w zakresie macierzy dyskowej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Montaż macierzy w ustalonej lokalizacji i szafie RACK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Podłączenie okablowania sieci LAN/SAN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Podłączenie zasilania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Konfiguracja macierzy obejmująca min.: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adresacji IP interfejsu(-ów) zarządzania,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synchronizację czasu urządzenia z serwerami NTP,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instalację wszelkich niezbędnych licencji,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aktualizację oprogramowania układowego do rekomendowanej przez producenta wersji,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integracja uwierzytelniania macierzy z Active Directory,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przestrzeni dyskowych 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interfejsów Front-End,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konfiguracje mechanizmów zabezpieczeń przestrzeni dyskowych (</w:t>
      </w:r>
      <w:proofErr w:type="spellStart"/>
      <w:r w:rsidRPr="00D7594A">
        <w:rPr>
          <w:rFonts w:cs="Arial"/>
        </w:rPr>
        <w:t>snapshot</w:t>
      </w:r>
      <w:proofErr w:type="spellEnd"/>
      <w:r w:rsidRPr="00D7594A">
        <w:rPr>
          <w:rFonts w:cs="Arial"/>
        </w:rPr>
        <w:t>),</w:t>
      </w:r>
    </w:p>
    <w:p w:rsidR="00D46766" w:rsidRPr="00D7594A" w:rsidRDefault="00D46766" w:rsidP="000F541D">
      <w:pPr>
        <w:pStyle w:val="Akapitzlist"/>
        <w:numPr>
          <w:ilvl w:val="2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powiadomień o awariach,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Wykonanie testów działania nadmiarowości komponentów i poprawności konfiguracji w zakresie połączeń Front-End i odporności na zanik napięcia w jednym źródle zasilania</w:t>
      </w:r>
    </w:p>
    <w:p w:rsidR="00D46766" w:rsidRPr="00D7594A" w:rsidRDefault="00D46766" w:rsidP="00D46766">
      <w:pPr>
        <w:pStyle w:val="Akapitzlist"/>
        <w:spacing w:line="276" w:lineRule="auto"/>
        <w:ind w:left="1440"/>
        <w:jc w:val="both"/>
        <w:rPr>
          <w:rFonts w:cs="Arial"/>
        </w:rPr>
      </w:pPr>
    </w:p>
    <w:p w:rsidR="00D46766" w:rsidRPr="00D7594A" w:rsidRDefault="00D46766" w:rsidP="000F541D">
      <w:pPr>
        <w:pStyle w:val="Akapitzlist"/>
        <w:numPr>
          <w:ilvl w:val="0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Usługi w zakresie oprogramowania systemu operacyjnego serwerów: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 xml:space="preserve">Instalacja oprogramowania </w:t>
      </w:r>
      <w:proofErr w:type="spellStart"/>
      <w:r w:rsidRPr="00D7594A">
        <w:rPr>
          <w:rFonts w:cs="Arial"/>
        </w:rPr>
        <w:t>hypervisora</w:t>
      </w:r>
      <w:proofErr w:type="spellEnd"/>
      <w:r w:rsidRPr="00D7594A">
        <w:rPr>
          <w:rFonts w:cs="Arial"/>
        </w:rPr>
        <w:t xml:space="preserve"> wirtualizacji opartego o oferowane oprogramowanie systemu operacyjnego na Serwerze </w:t>
      </w:r>
      <w:proofErr w:type="spellStart"/>
      <w:r w:rsidRPr="00D7594A">
        <w:rPr>
          <w:rFonts w:cs="Arial"/>
        </w:rPr>
        <w:t>Rack</w:t>
      </w:r>
      <w:proofErr w:type="spellEnd"/>
      <w:r w:rsidRPr="00D7594A">
        <w:rPr>
          <w:rFonts w:cs="Arial"/>
        </w:rPr>
        <w:t xml:space="preserve"> Typ 1,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adresacji IP interfejsu(-ów) zarządzania,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Synchronizację czasu środowiska z serwerami NTP,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Instalację wszelkich niezbędnych licencji,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Aktualizację oprogramowania do rekomendowanej przez producenta wersji,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Integracja uwierzytelniania z Active Directory,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powiadomień o awariach,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produkcyjnej sieci LAN i SAN,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zasobów dyskowych środowiska wirtualizacji serwerów w oparciu o dostarczaną Macierz dyskową,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 xml:space="preserve">Konfigurację klastra wysokiej dostępności HA w oparciu o dostarczany Serwer </w:t>
      </w:r>
      <w:proofErr w:type="spellStart"/>
      <w:r w:rsidRPr="00D7594A">
        <w:rPr>
          <w:rFonts w:cs="Arial"/>
        </w:rPr>
        <w:t>Rack</w:t>
      </w:r>
      <w:proofErr w:type="spellEnd"/>
      <w:r w:rsidRPr="00D7594A">
        <w:rPr>
          <w:rFonts w:cs="Arial"/>
        </w:rPr>
        <w:t xml:space="preserve"> Typ 1 oraz serwer posiadany przez Zamawiającego.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Instalacja i konfiguracja dwóch kontrolerów domeny,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Konfiguracja usług sieciowych domeny takich jak: DNS, DHCP, NTP,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Utworzenie do 10 przykładowych kont użytkowników domenie,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Dodanie do 10 przykładowych urządzeń do domeny,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Synchronizację czasu środowiska z serwerami NTP,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Instalację wszelkich niezbędnych licencji,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Aktualizację oprogramowania do rekomendowanej przez producenta wersji,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Integracja uwierzytelniania z Active Directory,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Konfigurację powiadomień o awariach,</w:t>
      </w:r>
    </w:p>
    <w:p w:rsidR="00D46766" w:rsidRPr="00D7594A" w:rsidRDefault="00D46766" w:rsidP="000F541D">
      <w:pPr>
        <w:pStyle w:val="Akapitzlist"/>
        <w:numPr>
          <w:ilvl w:val="1"/>
          <w:numId w:val="24"/>
        </w:numPr>
        <w:spacing w:line="276" w:lineRule="auto"/>
        <w:jc w:val="both"/>
        <w:rPr>
          <w:rFonts w:cs="Arial"/>
        </w:rPr>
      </w:pPr>
      <w:r w:rsidRPr="00D7594A">
        <w:rPr>
          <w:rFonts w:cs="Arial"/>
        </w:rPr>
        <w:t>Przeprowadzenie testów niezawodnościowych i funkcjonalnych działania klastra wirtualizacji serwerów działających.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0F541D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Usługi w zakresie wdrożenia przełączników sieciowych: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Instalacja przełączników sieciowych w szafie RACK, 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Konfiguracja sieci zarządzania, 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Konfiguracja sieci VLAN, 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Konfiguracja kont użytkowników, 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Konfiguracja połączeń agregowanych,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Przeniesienie połączeń trzech posiadanych przez Zamawiającego serwerów.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0F541D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Usługi w zakresie wdrożenia Oprogramowania kopii zapasowych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Opracowanie polityki wykonywania kopii zapasowych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Instalacja systemu operacyjnego serwera na Serwerze </w:t>
      </w:r>
      <w:proofErr w:type="spellStart"/>
      <w:r w:rsidRPr="00D7594A">
        <w:rPr>
          <w:rFonts w:cstheme="minorHAnsi"/>
        </w:rPr>
        <w:t>Rack</w:t>
      </w:r>
      <w:proofErr w:type="spellEnd"/>
      <w:r w:rsidRPr="00D7594A">
        <w:rPr>
          <w:rFonts w:cstheme="minorHAnsi"/>
        </w:rPr>
        <w:t xml:space="preserve"> Typ 2,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Instalacja komponentów oprogramowania kopii zapasowych na dostarczanym Serwerze RACK Typ 2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Konfiguracja przestrzeni składowania kopii (lokalne zasoby, urządzenia NAS Zamawiającego)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Instalacja agentów/klientów systemu kopii zapasowych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 xml:space="preserve">Wykonanie testowej kopii zapasowej wirtualnych maszyn z klastra Hyper-V oraz wybranych trzech stacji roboczych wraz z automatycznym wykonaniem duplikacji danych na urządzenie NAS 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Wykonanie testowego odtworzenia danych (minimum dla pojedynczych plików oraz w formie wirtualnej maszyny)</w:t>
      </w:r>
    </w:p>
    <w:p w:rsidR="00D46766" w:rsidRPr="00D7594A" w:rsidRDefault="00D46766" w:rsidP="000F541D">
      <w:pPr>
        <w:pStyle w:val="Akapitzlist"/>
        <w:widowControl w:val="0"/>
        <w:numPr>
          <w:ilvl w:val="0"/>
          <w:numId w:val="28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Opracowanie i konfiguracja harmonogramów/polis systemu kopii zapasowych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0F541D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Usługi w zakresie wdrożenia Oprogramowania do monitorowania infrastruktury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Ustalenie architektury rozwiązania z Zamawiającym,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Przygotowanie wirtualnych maszyn oraz instalacja kompatybilnego systemu operacyjnego zgodnie z przyjętą architekturą,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 xml:space="preserve">Instalacja instancji oprogramowania, 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 xml:space="preserve">Konfiguracja usług podstawowych, w tym m.in. </w:t>
      </w:r>
      <w:proofErr w:type="spellStart"/>
      <w:r w:rsidRPr="00D7594A">
        <w:rPr>
          <w:rFonts w:eastAsia="Calibri"/>
        </w:rPr>
        <w:t>server</w:t>
      </w:r>
      <w:proofErr w:type="spellEnd"/>
      <w:r w:rsidRPr="00D7594A">
        <w:rPr>
          <w:rFonts w:eastAsia="Calibri"/>
        </w:rPr>
        <w:t xml:space="preserve">, </w:t>
      </w:r>
      <w:proofErr w:type="spellStart"/>
      <w:r w:rsidRPr="00D7594A">
        <w:rPr>
          <w:rFonts w:eastAsia="Calibri"/>
        </w:rPr>
        <w:t>indexer</w:t>
      </w:r>
      <w:proofErr w:type="spellEnd"/>
      <w:r w:rsidRPr="00D7594A">
        <w:rPr>
          <w:rFonts w:eastAsia="Calibri"/>
        </w:rPr>
        <w:t xml:space="preserve">, </w:t>
      </w:r>
      <w:proofErr w:type="spellStart"/>
      <w:r w:rsidRPr="00D7594A">
        <w:rPr>
          <w:rFonts w:eastAsia="Calibri"/>
        </w:rPr>
        <w:t>dashboard</w:t>
      </w:r>
      <w:proofErr w:type="spellEnd"/>
      <w:r w:rsidRPr="00D7594A">
        <w:rPr>
          <w:rFonts w:eastAsia="Calibri"/>
        </w:rPr>
        <w:t>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Uruchomienie usługi agregacji, oceny i korelacji logów w środowisku Zamawiającego,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Konfiguracja kont użytkowników administracyjnych,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Instalacja agentów na 5 wskazanych serwerach/stacjach końcowych,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Instalacja/konfiguracja usługi agregacji logów/zdarzeń z 5 urządzeń,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Konfiguracja przykładowych akcji/raportów,</w:t>
      </w:r>
    </w:p>
    <w:p w:rsidR="00D46766" w:rsidRPr="00D7594A" w:rsidRDefault="00D46766" w:rsidP="000F541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eastAsia="Calibri"/>
        </w:rPr>
      </w:pPr>
      <w:r w:rsidRPr="00D7594A">
        <w:rPr>
          <w:rFonts w:eastAsia="Calibri"/>
        </w:rPr>
        <w:t>Weryfikacja poprawności funkcjonowania oprogramowania do monitorowania infrastruktury</w:t>
      </w:r>
    </w:p>
    <w:p w:rsidR="00D46766" w:rsidRPr="00D7594A" w:rsidRDefault="00D46766" w:rsidP="00D46766">
      <w:pPr>
        <w:spacing w:line="276" w:lineRule="auto"/>
        <w:jc w:val="both"/>
        <w:rPr>
          <w:rFonts w:cstheme="minorHAnsi"/>
        </w:rPr>
      </w:pPr>
    </w:p>
    <w:p w:rsidR="00D46766" w:rsidRPr="00D7594A" w:rsidRDefault="00D46766" w:rsidP="000F541D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Dokumentacja powdrożeniowa</w:t>
      </w:r>
    </w:p>
    <w:p w:rsidR="00D46766" w:rsidRPr="00D7594A" w:rsidRDefault="00D46766" w:rsidP="000F541D">
      <w:pPr>
        <w:pStyle w:val="Akapitzlist"/>
        <w:numPr>
          <w:ilvl w:val="1"/>
          <w:numId w:val="26"/>
        </w:num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Opis/specyfikacja wdrożonych systemów oraz ich konfiguracji,</w:t>
      </w:r>
    </w:p>
    <w:p w:rsidR="00D46766" w:rsidRPr="00D7594A" w:rsidRDefault="00D46766" w:rsidP="000F541D">
      <w:pPr>
        <w:pStyle w:val="Akapitzlist"/>
        <w:numPr>
          <w:ilvl w:val="1"/>
          <w:numId w:val="26"/>
        </w:num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Poświadczenia dostępowe,</w:t>
      </w:r>
    </w:p>
    <w:p w:rsidR="00D46766" w:rsidRPr="00D7594A" w:rsidRDefault="00D46766" w:rsidP="000F541D">
      <w:pPr>
        <w:pStyle w:val="Akapitzlist"/>
        <w:numPr>
          <w:ilvl w:val="1"/>
          <w:numId w:val="26"/>
        </w:num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Konfiguracja dostarczanych komponentów,</w:t>
      </w:r>
    </w:p>
    <w:p w:rsidR="00D46766" w:rsidRPr="00D7594A" w:rsidRDefault="00D46766" w:rsidP="000F541D">
      <w:pPr>
        <w:pStyle w:val="Akapitzlist"/>
        <w:numPr>
          <w:ilvl w:val="1"/>
          <w:numId w:val="26"/>
        </w:num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Topologia logiczna rozwiązania,</w:t>
      </w:r>
    </w:p>
    <w:p w:rsidR="00D46766" w:rsidRPr="00D7594A" w:rsidRDefault="00D46766" w:rsidP="000F541D">
      <w:pPr>
        <w:pStyle w:val="Akapitzlist"/>
        <w:numPr>
          <w:ilvl w:val="1"/>
          <w:numId w:val="26"/>
        </w:numPr>
        <w:spacing w:line="276" w:lineRule="auto"/>
        <w:jc w:val="both"/>
        <w:rPr>
          <w:rFonts w:cstheme="minorHAnsi"/>
        </w:rPr>
      </w:pPr>
      <w:r w:rsidRPr="00D7594A">
        <w:rPr>
          <w:rFonts w:cstheme="minorHAnsi"/>
        </w:rPr>
        <w:t>Topologia fizyczna rozwiązania.</w:t>
      </w:r>
    </w:p>
    <w:p w:rsidR="001531A5" w:rsidRDefault="001531A5"/>
    <w:p w:rsidR="0080672C" w:rsidRPr="0080672C" w:rsidRDefault="001C58A8" w:rsidP="000F541D">
      <w:pPr>
        <w:pStyle w:val="Akapitzlist"/>
        <w:numPr>
          <w:ilvl w:val="0"/>
          <w:numId w:val="15"/>
        </w:numPr>
        <w:rPr>
          <w:b/>
          <w:bCs/>
          <w:u w:val="single"/>
        </w:rPr>
      </w:pPr>
      <w:r>
        <w:rPr>
          <w:b/>
          <w:bCs/>
          <w:u w:val="single"/>
        </w:rPr>
        <w:t>Część 2</w:t>
      </w:r>
      <w:r w:rsidR="00A1487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-</w:t>
      </w:r>
      <w:r w:rsidR="00A14874">
        <w:rPr>
          <w:b/>
          <w:bCs/>
          <w:u w:val="single"/>
        </w:rPr>
        <w:t xml:space="preserve"> z</w:t>
      </w:r>
      <w:r w:rsidR="0080672C" w:rsidRPr="0080672C">
        <w:rPr>
          <w:b/>
          <w:bCs/>
          <w:u w:val="single"/>
        </w:rPr>
        <w:t>adanie nr 2:</w:t>
      </w:r>
    </w:p>
    <w:p w:rsidR="0080672C" w:rsidRPr="0080672C" w:rsidRDefault="0080672C" w:rsidP="0080672C">
      <w:pPr>
        <w:rPr>
          <w:b/>
          <w:bCs/>
          <w:u w:val="single"/>
        </w:rPr>
      </w:pPr>
      <w:r w:rsidRPr="0080672C">
        <w:rPr>
          <w:b/>
          <w:bCs/>
          <w:u w:val="single"/>
        </w:rPr>
        <w:t xml:space="preserve">Szkolenia z zakresu cyberbezpieczeństwa </w:t>
      </w:r>
    </w:p>
    <w:p w:rsidR="0080672C" w:rsidRPr="0080672C" w:rsidRDefault="0080672C" w:rsidP="000F541D">
      <w:pPr>
        <w:numPr>
          <w:ilvl w:val="0"/>
          <w:numId w:val="4"/>
        </w:numPr>
        <w:rPr>
          <w:b/>
          <w:bCs/>
        </w:rPr>
      </w:pPr>
      <w:r w:rsidRPr="0080672C">
        <w:rPr>
          <w:b/>
          <w:bCs/>
        </w:rPr>
        <w:t xml:space="preserve">W ramach zadania wykonawca przeprowadzi szkolenia w zakresie cyberbezpieczeństwa dla 17 pracowników samorządowych Urzędu Gminy Sadowie: </w:t>
      </w:r>
    </w:p>
    <w:p w:rsidR="0080672C" w:rsidRPr="0080672C" w:rsidRDefault="0080672C" w:rsidP="000F541D">
      <w:pPr>
        <w:numPr>
          <w:ilvl w:val="1"/>
          <w:numId w:val="4"/>
        </w:numPr>
        <w:rPr>
          <w:b/>
          <w:bCs/>
        </w:rPr>
      </w:pPr>
      <w:r w:rsidRPr="0080672C">
        <w:rPr>
          <w:b/>
          <w:bCs/>
        </w:rPr>
        <w:t xml:space="preserve">Kadra kierownicza - 5 osób, </w:t>
      </w:r>
    </w:p>
    <w:p w:rsidR="0080672C" w:rsidRPr="0080672C" w:rsidRDefault="0080672C" w:rsidP="000F541D">
      <w:pPr>
        <w:numPr>
          <w:ilvl w:val="1"/>
          <w:numId w:val="4"/>
        </w:numPr>
        <w:rPr>
          <w:b/>
          <w:bCs/>
        </w:rPr>
      </w:pPr>
      <w:r w:rsidRPr="0080672C">
        <w:rPr>
          <w:b/>
          <w:bCs/>
        </w:rPr>
        <w:t xml:space="preserve">Kadra administracyjna – 12 osób. </w:t>
      </w:r>
    </w:p>
    <w:p w:rsidR="0080672C" w:rsidRPr="0080672C" w:rsidRDefault="0080672C" w:rsidP="000F541D">
      <w:pPr>
        <w:numPr>
          <w:ilvl w:val="0"/>
          <w:numId w:val="4"/>
        </w:numPr>
        <w:rPr>
          <w:b/>
          <w:bCs/>
        </w:rPr>
      </w:pPr>
      <w:r w:rsidRPr="0080672C">
        <w:rPr>
          <w:b/>
          <w:bCs/>
        </w:rPr>
        <w:t xml:space="preserve">Organizacja grup szkoleniowych: </w:t>
      </w:r>
    </w:p>
    <w:p w:rsidR="0080672C" w:rsidRPr="0080672C" w:rsidRDefault="0080672C" w:rsidP="000F541D">
      <w:pPr>
        <w:numPr>
          <w:ilvl w:val="1"/>
          <w:numId w:val="4"/>
        </w:numPr>
        <w:rPr>
          <w:b/>
          <w:bCs/>
        </w:rPr>
      </w:pPr>
      <w:r w:rsidRPr="0080672C">
        <w:rPr>
          <w:b/>
          <w:bCs/>
        </w:rPr>
        <w:t xml:space="preserve">Kadr kierownicza – maksymalnie 5 osób w grupie warsztatowej, </w:t>
      </w:r>
    </w:p>
    <w:p w:rsidR="0080672C" w:rsidRPr="0080672C" w:rsidRDefault="0080672C" w:rsidP="000F541D">
      <w:pPr>
        <w:numPr>
          <w:ilvl w:val="1"/>
          <w:numId w:val="4"/>
        </w:numPr>
        <w:rPr>
          <w:b/>
          <w:bCs/>
        </w:rPr>
      </w:pPr>
      <w:r w:rsidRPr="0080672C">
        <w:rPr>
          <w:b/>
          <w:bCs/>
        </w:rPr>
        <w:t xml:space="preserve">Kadra administracyjna – maksymalnie 12 osób w grupie warsztatowej. </w:t>
      </w:r>
    </w:p>
    <w:p w:rsidR="0080672C" w:rsidRPr="0080672C" w:rsidRDefault="0080672C" w:rsidP="000F541D">
      <w:pPr>
        <w:numPr>
          <w:ilvl w:val="0"/>
          <w:numId w:val="4"/>
        </w:numPr>
        <w:rPr>
          <w:b/>
          <w:bCs/>
        </w:rPr>
      </w:pPr>
      <w:r w:rsidRPr="0080672C">
        <w:rPr>
          <w:b/>
          <w:bCs/>
        </w:rPr>
        <w:t>Ilość godzin: minimum 10 godzin łącznie.</w:t>
      </w:r>
    </w:p>
    <w:p w:rsidR="0080672C" w:rsidRPr="0080672C" w:rsidRDefault="0080672C" w:rsidP="000F541D">
      <w:pPr>
        <w:numPr>
          <w:ilvl w:val="0"/>
          <w:numId w:val="4"/>
        </w:numPr>
        <w:rPr>
          <w:b/>
          <w:bCs/>
        </w:rPr>
      </w:pPr>
      <w:r w:rsidRPr="0080672C">
        <w:rPr>
          <w:b/>
          <w:bCs/>
        </w:rPr>
        <w:t xml:space="preserve">Planowany termin szkoleń: kwiecień/maj 2026 . </w:t>
      </w:r>
    </w:p>
    <w:p w:rsidR="0080672C" w:rsidRPr="0080672C" w:rsidRDefault="0080672C" w:rsidP="000F541D">
      <w:pPr>
        <w:numPr>
          <w:ilvl w:val="0"/>
          <w:numId w:val="4"/>
        </w:numPr>
        <w:rPr>
          <w:b/>
          <w:bCs/>
        </w:rPr>
      </w:pPr>
      <w:r w:rsidRPr="0080672C">
        <w:rPr>
          <w:b/>
          <w:bCs/>
        </w:rPr>
        <w:t xml:space="preserve">Szkolenia przeprowadzone będą w siedzibie Zamawiającego oraz sprzęcie szkoleniowym wykonawcy. </w:t>
      </w:r>
    </w:p>
    <w:p w:rsidR="0080672C" w:rsidRPr="0080672C" w:rsidRDefault="0080672C" w:rsidP="000F541D">
      <w:pPr>
        <w:numPr>
          <w:ilvl w:val="0"/>
          <w:numId w:val="4"/>
        </w:numPr>
        <w:rPr>
          <w:b/>
          <w:bCs/>
        </w:rPr>
      </w:pPr>
      <w:r w:rsidRPr="0080672C">
        <w:rPr>
          <w:b/>
          <w:bCs/>
        </w:rPr>
        <w:t>szkolenia muszą być dedykowane dla JST i przeprowadzone przez doświadczonych trenerów posiadających stosowną wiedzę oraz co najmniej 2- letnie doświadczenie w przeprowadzaniu szkoleń z zakresu cyberbezpieczeństwa.</w:t>
      </w:r>
    </w:p>
    <w:p w:rsidR="0080672C" w:rsidRPr="0080672C" w:rsidRDefault="0080672C" w:rsidP="0080672C">
      <w:pPr>
        <w:rPr>
          <w:b/>
          <w:bCs/>
          <w:i/>
          <w:iCs/>
          <w:u w:val="single"/>
        </w:rPr>
      </w:pPr>
    </w:p>
    <w:p w:rsidR="0080672C" w:rsidRPr="0080672C" w:rsidRDefault="0080672C" w:rsidP="0080672C">
      <w:pPr>
        <w:rPr>
          <w:b/>
          <w:bCs/>
          <w:i/>
          <w:iCs/>
        </w:rPr>
      </w:pPr>
      <w:r w:rsidRPr="0080672C">
        <w:rPr>
          <w:b/>
          <w:bCs/>
          <w:i/>
          <w:iCs/>
        </w:rPr>
        <w:t>Program szkoleń</w:t>
      </w:r>
    </w:p>
    <w:p w:rsidR="0080672C" w:rsidRPr="0080672C" w:rsidRDefault="0080672C" w:rsidP="0080672C">
      <w:pPr>
        <w:rPr>
          <w:b/>
          <w:bCs/>
          <w:i/>
          <w:iCs/>
        </w:rPr>
      </w:pPr>
      <w:r w:rsidRPr="0080672C">
        <w:rPr>
          <w:b/>
          <w:bCs/>
          <w:i/>
          <w:iCs/>
        </w:rPr>
        <w:t xml:space="preserve">Szkolenie specjalistyczne dla kadry administracyjnej </w:t>
      </w:r>
    </w:p>
    <w:p w:rsidR="0080672C" w:rsidRPr="0080672C" w:rsidRDefault="0080672C" w:rsidP="000F541D">
      <w:pPr>
        <w:numPr>
          <w:ilvl w:val="0"/>
          <w:numId w:val="1"/>
        </w:numPr>
        <w:rPr>
          <w:b/>
          <w:bCs/>
        </w:rPr>
      </w:pPr>
      <w:r w:rsidRPr="0080672C">
        <w:rPr>
          <w:b/>
          <w:bCs/>
        </w:rPr>
        <w:t xml:space="preserve">Szkolenie z zakresu cyberbezpieczeństwa skierowane do pracowników Urzędu Gminy Sadowie obejmujące co najmniej następujące obszary: </w:t>
      </w:r>
    </w:p>
    <w:p w:rsidR="0080672C" w:rsidRPr="0080672C" w:rsidRDefault="0080672C" w:rsidP="000F541D">
      <w:pPr>
        <w:numPr>
          <w:ilvl w:val="1"/>
          <w:numId w:val="1"/>
        </w:numPr>
        <w:rPr>
          <w:b/>
          <w:bCs/>
        </w:rPr>
      </w:pPr>
      <w:r w:rsidRPr="0080672C">
        <w:rPr>
          <w:b/>
          <w:bCs/>
        </w:rPr>
        <w:t xml:space="preserve">wprowadzenie do cyberbezpieczeństwa: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czym jest cyberbezpieczeństwo;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kluczowe zagadnienia związane z cyberbezpieczeństwem;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przegląd statystyk i trendów w cyberbezpieczeństwie. </w:t>
      </w:r>
    </w:p>
    <w:p w:rsidR="0080672C" w:rsidRPr="0080672C" w:rsidRDefault="0080672C" w:rsidP="000F541D">
      <w:pPr>
        <w:numPr>
          <w:ilvl w:val="1"/>
          <w:numId w:val="1"/>
        </w:numPr>
        <w:rPr>
          <w:b/>
          <w:bCs/>
        </w:rPr>
      </w:pPr>
      <w:r w:rsidRPr="0080672C">
        <w:rPr>
          <w:b/>
          <w:bCs/>
        </w:rPr>
        <w:t>typy zagrożeń w cyberprzestrzeni: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proofErr w:type="spellStart"/>
      <w:r w:rsidRPr="0080672C">
        <w:rPr>
          <w:b/>
          <w:bCs/>
        </w:rPr>
        <w:t>malware</w:t>
      </w:r>
      <w:proofErr w:type="spellEnd"/>
      <w:r w:rsidRPr="0080672C">
        <w:rPr>
          <w:b/>
          <w:bCs/>
        </w:rPr>
        <w:t xml:space="preserve"> (wirusy, </w:t>
      </w:r>
      <w:proofErr w:type="spellStart"/>
      <w:r w:rsidRPr="0080672C">
        <w:rPr>
          <w:b/>
          <w:bCs/>
        </w:rPr>
        <w:t>trojany</w:t>
      </w:r>
      <w:proofErr w:type="spellEnd"/>
      <w:r w:rsidRPr="0080672C">
        <w:rPr>
          <w:b/>
          <w:bCs/>
        </w:rPr>
        <w:t>, robaki itp.);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  <w:lang w:val="en-US"/>
        </w:rPr>
      </w:pPr>
      <w:proofErr w:type="spellStart"/>
      <w:r w:rsidRPr="0080672C">
        <w:rPr>
          <w:b/>
          <w:bCs/>
          <w:lang w:val="en-US"/>
        </w:rPr>
        <w:t>ataki</w:t>
      </w:r>
      <w:proofErr w:type="spellEnd"/>
      <w:r w:rsidRPr="0080672C">
        <w:rPr>
          <w:b/>
          <w:bCs/>
          <w:lang w:val="en-US"/>
        </w:rPr>
        <w:t xml:space="preserve"> </w:t>
      </w:r>
      <w:proofErr w:type="spellStart"/>
      <w:r w:rsidRPr="0080672C">
        <w:rPr>
          <w:b/>
          <w:bCs/>
          <w:lang w:val="en-US"/>
        </w:rPr>
        <w:t>typu</w:t>
      </w:r>
      <w:proofErr w:type="spellEnd"/>
      <w:r w:rsidRPr="0080672C">
        <w:rPr>
          <w:b/>
          <w:bCs/>
          <w:lang w:val="en-US"/>
        </w:rPr>
        <w:t xml:space="preserve"> phishing i spear phishing;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ataki </w:t>
      </w:r>
      <w:proofErr w:type="spellStart"/>
      <w:r w:rsidRPr="0080672C">
        <w:rPr>
          <w:b/>
          <w:bCs/>
        </w:rPr>
        <w:t>DDoS</w:t>
      </w:r>
      <w:proofErr w:type="spellEnd"/>
      <w:r w:rsidRPr="0080672C">
        <w:rPr>
          <w:b/>
          <w:bCs/>
        </w:rPr>
        <w:t xml:space="preserve">; iv. ataki ransomware;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zagrożenia związane z sieciami społecznościowymi. </w:t>
      </w:r>
    </w:p>
    <w:p w:rsidR="0080672C" w:rsidRPr="0080672C" w:rsidRDefault="0080672C" w:rsidP="000F541D">
      <w:pPr>
        <w:numPr>
          <w:ilvl w:val="1"/>
          <w:numId w:val="1"/>
        </w:numPr>
        <w:rPr>
          <w:b/>
          <w:bCs/>
        </w:rPr>
      </w:pPr>
      <w:r w:rsidRPr="0080672C">
        <w:rPr>
          <w:b/>
          <w:bCs/>
        </w:rPr>
        <w:t xml:space="preserve">zasady bezpieczeństwa i praktyki: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zarządzanie hasłami i uwierzytelnianie wieloskładnikowe;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zasady bezpieczeństwa e-mail;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>bezpieczeństwo w sieciach bezprzewodowych;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 bezpieczne przeglądanie </w:t>
      </w:r>
      <w:proofErr w:type="spellStart"/>
      <w:r w:rsidRPr="0080672C">
        <w:rPr>
          <w:b/>
          <w:bCs/>
        </w:rPr>
        <w:t>internetu</w:t>
      </w:r>
      <w:proofErr w:type="spellEnd"/>
      <w:r w:rsidRPr="0080672C">
        <w:rPr>
          <w:b/>
          <w:bCs/>
        </w:rPr>
        <w:t xml:space="preserve">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backup i odzyskiwanie danych. </w:t>
      </w:r>
    </w:p>
    <w:p w:rsidR="0080672C" w:rsidRPr="0080672C" w:rsidRDefault="0080672C" w:rsidP="000F541D">
      <w:pPr>
        <w:numPr>
          <w:ilvl w:val="1"/>
          <w:numId w:val="1"/>
        </w:numPr>
        <w:rPr>
          <w:b/>
          <w:bCs/>
        </w:rPr>
      </w:pPr>
      <w:r w:rsidRPr="0080672C">
        <w:rPr>
          <w:b/>
          <w:bCs/>
        </w:rPr>
        <w:t>reagowanie na incydenty i planowanie awaryjne: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 xml:space="preserve">jak zidentyfikować i zgłosić incydent związany z cyberbezpieczeństwem; zasady reagowania na incydenty; ii. planowanie awaryjne i kontynuacja działalności; </w:t>
      </w:r>
    </w:p>
    <w:p w:rsidR="0080672C" w:rsidRPr="0080672C" w:rsidRDefault="0080672C" w:rsidP="000F541D">
      <w:pPr>
        <w:numPr>
          <w:ilvl w:val="2"/>
          <w:numId w:val="1"/>
        </w:numPr>
        <w:rPr>
          <w:b/>
          <w:bCs/>
        </w:rPr>
      </w:pPr>
      <w:r w:rsidRPr="0080672C">
        <w:rPr>
          <w:b/>
          <w:bCs/>
        </w:rPr>
        <w:t>przegląd realnych przypadków naruszeń bezpieczeństwa</w:t>
      </w:r>
    </w:p>
    <w:p w:rsidR="0080672C" w:rsidRPr="0080672C" w:rsidRDefault="0080672C" w:rsidP="0080672C">
      <w:pPr>
        <w:rPr>
          <w:b/>
          <w:bCs/>
        </w:rPr>
      </w:pPr>
    </w:p>
    <w:p w:rsidR="0080672C" w:rsidRPr="0080672C" w:rsidRDefault="0080672C" w:rsidP="0080672C">
      <w:pPr>
        <w:rPr>
          <w:b/>
          <w:bCs/>
          <w:i/>
          <w:iCs/>
        </w:rPr>
      </w:pPr>
      <w:r w:rsidRPr="0080672C">
        <w:rPr>
          <w:b/>
          <w:bCs/>
          <w:i/>
          <w:iCs/>
        </w:rPr>
        <w:t xml:space="preserve">Szkolenia specjalistyczne dla kadry zarządzającej Urzędu Gminy Sadowie z zakresu cyberbezpieczeństwa 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 xml:space="preserve">Przedmiotem zamówienia jest przeprowadzenie szkoleń z zakresu cyberbezpieczeństwa dla kadry zarządzającej urzędu. </w:t>
      </w:r>
    </w:p>
    <w:p w:rsidR="0080672C" w:rsidRPr="0080672C" w:rsidRDefault="0080672C" w:rsidP="000F541D">
      <w:pPr>
        <w:numPr>
          <w:ilvl w:val="0"/>
          <w:numId w:val="2"/>
        </w:numPr>
        <w:rPr>
          <w:b/>
          <w:bCs/>
        </w:rPr>
      </w:pPr>
      <w:r w:rsidRPr="0080672C">
        <w:rPr>
          <w:b/>
          <w:bCs/>
        </w:rPr>
        <w:t xml:space="preserve">Szkolenie dla kadry zarządzającej z zakresu cyberbezpieczeństwa musi zawierać następującą tematykę: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Wstęp do bezpieczeństwa w cyberprzestrzeni;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Akty Prawne;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Krajowy System Cyberbezpieczeństwa;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>Analiza ataków cybernetycznych;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 Najpopularniejsze zagrożenia;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Przewodnik po metodach obrony instytucji;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Cyberbezpieczeństwo osobiste;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Postępowanie w pracy;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ABC higieny pracy w cyberprzestrzeni;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Bezpieczeństwo pracy zdalnej;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Ataki socjotechniczne - czyli niewinne „wyłudzanie” danych l. Kampanie </w:t>
      </w:r>
      <w:proofErr w:type="spellStart"/>
      <w:r w:rsidRPr="0080672C">
        <w:rPr>
          <w:b/>
          <w:bCs/>
        </w:rPr>
        <w:t>Phishingowe</w:t>
      </w:r>
      <w:proofErr w:type="spellEnd"/>
      <w:r w:rsidRPr="0080672C">
        <w:rPr>
          <w:b/>
          <w:bCs/>
        </w:rPr>
        <w:t xml:space="preserve">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Opłacalność ataków </w:t>
      </w:r>
      <w:proofErr w:type="spellStart"/>
      <w:r w:rsidRPr="0080672C">
        <w:rPr>
          <w:b/>
          <w:bCs/>
        </w:rPr>
        <w:t>DoS</w:t>
      </w:r>
      <w:proofErr w:type="spellEnd"/>
      <w:r w:rsidRPr="0080672C">
        <w:rPr>
          <w:b/>
          <w:bCs/>
        </w:rPr>
        <w:t>/</w:t>
      </w:r>
      <w:proofErr w:type="spellStart"/>
      <w:r w:rsidRPr="0080672C">
        <w:rPr>
          <w:b/>
          <w:bCs/>
        </w:rPr>
        <w:t>DDoS</w:t>
      </w:r>
      <w:proofErr w:type="spellEnd"/>
      <w:r w:rsidRPr="0080672C">
        <w:rPr>
          <w:b/>
          <w:bCs/>
        </w:rPr>
        <w:t xml:space="preserve"> wymierzonych w konkretną instytucję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 xml:space="preserve">Aktualne zagrożenia wynikające z wojny w Ukrainie· </w:t>
      </w:r>
    </w:p>
    <w:p w:rsidR="0080672C" w:rsidRPr="0080672C" w:rsidRDefault="0080672C" w:rsidP="000F541D">
      <w:pPr>
        <w:numPr>
          <w:ilvl w:val="1"/>
          <w:numId w:val="2"/>
        </w:numPr>
        <w:rPr>
          <w:b/>
          <w:bCs/>
        </w:rPr>
      </w:pPr>
      <w:r w:rsidRPr="0080672C">
        <w:rPr>
          <w:b/>
          <w:bCs/>
        </w:rPr>
        <w:t>Przeprowadzenie testu wiedzy;</w:t>
      </w:r>
    </w:p>
    <w:p w:rsidR="0080672C" w:rsidRPr="0080672C" w:rsidRDefault="0080672C" w:rsidP="0080672C">
      <w:pPr>
        <w:rPr>
          <w:b/>
          <w:bCs/>
        </w:rPr>
      </w:pPr>
    </w:p>
    <w:p w:rsidR="0080672C" w:rsidRPr="0080672C" w:rsidRDefault="0080672C" w:rsidP="0080672C">
      <w:pPr>
        <w:rPr>
          <w:b/>
          <w:bCs/>
          <w:i/>
          <w:iCs/>
        </w:rPr>
      </w:pPr>
      <w:r w:rsidRPr="0080672C">
        <w:rPr>
          <w:b/>
          <w:bCs/>
          <w:i/>
          <w:iCs/>
        </w:rPr>
        <w:t xml:space="preserve">Wymagania wobec Wykonawcy: </w:t>
      </w:r>
    </w:p>
    <w:p w:rsidR="0080672C" w:rsidRPr="0080672C" w:rsidRDefault="0080672C" w:rsidP="000F541D">
      <w:pPr>
        <w:numPr>
          <w:ilvl w:val="0"/>
          <w:numId w:val="3"/>
        </w:numPr>
        <w:rPr>
          <w:b/>
          <w:bCs/>
        </w:rPr>
      </w:pPr>
      <w:r w:rsidRPr="0080672C">
        <w:rPr>
          <w:b/>
          <w:bCs/>
        </w:rPr>
        <w:t xml:space="preserve">Wykonawca oddeleguje do realizacji zadania prelegenta (prelegentów) posiadającego </w:t>
      </w:r>
      <w:r w:rsidR="0097793D">
        <w:rPr>
          <w:b/>
          <w:bCs/>
        </w:rPr>
        <w:t xml:space="preserve">stosowną wiedzę oraz co najmniej 2-letnie doświadczeniu w prowadzeniu szkoleń z zakresu </w:t>
      </w:r>
      <w:proofErr w:type="spellStart"/>
      <w:r w:rsidR="0097793D">
        <w:rPr>
          <w:b/>
          <w:bCs/>
        </w:rPr>
        <w:t>cyberbezpieczeństwa</w:t>
      </w:r>
      <w:proofErr w:type="spellEnd"/>
      <w:r w:rsidRPr="0080672C">
        <w:rPr>
          <w:b/>
          <w:bCs/>
        </w:rPr>
        <w:t>;</w:t>
      </w:r>
    </w:p>
    <w:p w:rsidR="0080672C" w:rsidRPr="0080672C" w:rsidRDefault="0080672C" w:rsidP="000F541D">
      <w:pPr>
        <w:numPr>
          <w:ilvl w:val="0"/>
          <w:numId w:val="3"/>
        </w:numPr>
        <w:rPr>
          <w:b/>
          <w:bCs/>
        </w:rPr>
      </w:pPr>
      <w:r w:rsidRPr="0080672C">
        <w:rPr>
          <w:b/>
          <w:bCs/>
        </w:rPr>
        <w:t xml:space="preserve">Wykonawca przeprowadzi szkolenia w języku polskim; </w:t>
      </w:r>
    </w:p>
    <w:p w:rsidR="0080672C" w:rsidRPr="0080672C" w:rsidRDefault="0080672C" w:rsidP="000F541D">
      <w:pPr>
        <w:numPr>
          <w:ilvl w:val="0"/>
          <w:numId w:val="3"/>
        </w:numPr>
        <w:rPr>
          <w:b/>
          <w:bCs/>
        </w:rPr>
      </w:pPr>
      <w:r w:rsidRPr="0080672C">
        <w:rPr>
          <w:b/>
          <w:bCs/>
        </w:rPr>
        <w:t xml:space="preserve">Wykonawca wyda każdemu uczestnikowi szkolenia certyfikat o ukończeniu szkolenia; </w:t>
      </w:r>
    </w:p>
    <w:p w:rsidR="0080672C" w:rsidRPr="0080672C" w:rsidRDefault="0080672C" w:rsidP="000F541D">
      <w:pPr>
        <w:numPr>
          <w:ilvl w:val="0"/>
          <w:numId w:val="3"/>
        </w:numPr>
        <w:rPr>
          <w:b/>
          <w:bCs/>
        </w:rPr>
      </w:pPr>
      <w:r w:rsidRPr="0080672C">
        <w:rPr>
          <w:b/>
          <w:bCs/>
        </w:rPr>
        <w:t>W ramach organizacji każdego z cykli szkoleń Wykonawca zapewni materiały szkoleniowe dla wszystkich uczestników obejmujące szczegółowy zakres merytoryczny w wersji papierowej.</w:t>
      </w:r>
    </w:p>
    <w:p w:rsidR="0080672C" w:rsidRPr="0080672C" w:rsidRDefault="0080672C" w:rsidP="000F541D">
      <w:pPr>
        <w:numPr>
          <w:ilvl w:val="0"/>
          <w:numId w:val="3"/>
        </w:numPr>
        <w:rPr>
          <w:b/>
          <w:bCs/>
        </w:rPr>
      </w:pPr>
      <w:r w:rsidRPr="0080672C">
        <w:rPr>
          <w:b/>
          <w:bCs/>
        </w:rPr>
        <w:t>Szkolenia zostaną zrealizowane w oparciu o sprzęt dostarczony przez Wykonawcę.</w:t>
      </w:r>
    </w:p>
    <w:p w:rsidR="0080672C" w:rsidRPr="0080672C" w:rsidRDefault="001C58A8" w:rsidP="000F541D">
      <w:pPr>
        <w:pStyle w:val="Akapitzlist"/>
        <w:numPr>
          <w:ilvl w:val="0"/>
          <w:numId w:val="14"/>
        </w:num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Część 3 - z</w:t>
      </w:r>
      <w:r w:rsidR="0080672C" w:rsidRPr="0080672C">
        <w:rPr>
          <w:b/>
          <w:bCs/>
          <w:sz w:val="24"/>
          <w:szCs w:val="24"/>
          <w:u w:val="single"/>
        </w:rPr>
        <w:t>adanie nr 3:</w:t>
      </w:r>
    </w:p>
    <w:p w:rsidR="0080672C" w:rsidRPr="0080672C" w:rsidRDefault="0080672C" w:rsidP="0080672C">
      <w:pPr>
        <w:rPr>
          <w:b/>
          <w:bCs/>
          <w:u w:val="single"/>
        </w:rPr>
      </w:pPr>
      <w:bookmarkStart w:id="2" w:name="_Hlk218862149"/>
      <w:r w:rsidRPr="0080672C">
        <w:rPr>
          <w:b/>
          <w:bCs/>
          <w:u w:val="single"/>
        </w:rPr>
        <w:t>Opracowanie, wdrożenie i dostosowanie dokumentacji Systemu Zarządzania Bezpieczeństwem Informacji (SZBI) zgodnego z normą PN-EN ISO/IEC 27001:2023-06.</w:t>
      </w:r>
    </w:p>
    <w:p w:rsidR="0080672C" w:rsidRPr="0080672C" w:rsidRDefault="0080672C" w:rsidP="0080672C">
      <w:pPr>
        <w:rPr>
          <w:b/>
          <w:bCs/>
          <w:u w:val="single"/>
        </w:rPr>
      </w:pPr>
      <w:r w:rsidRPr="0080672C">
        <w:rPr>
          <w:b/>
          <w:bCs/>
          <w:u w:val="single"/>
        </w:rPr>
        <w:t>Dokumentacja SZBI oraz audyt</w:t>
      </w:r>
    </w:p>
    <w:p w:rsidR="0080672C" w:rsidRPr="0080672C" w:rsidRDefault="0080672C" w:rsidP="000F541D">
      <w:pPr>
        <w:numPr>
          <w:ilvl w:val="0"/>
          <w:numId w:val="5"/>
        </w:numPr>
        <w:rPr>
          <w:b/>
          <w:bCs/>
        </w:rPr>
      </w:pPr>
      <w:r w:rsidRPr="0080672C">
        <w:rPr>
          <w:b/>
          <w:bCs/>
        </w:rPr>
        <w:t>Przedmiotem zamówienia jest opracowanie, wdrożenie i dostosowanie dokumentacji Systemu Zarządzania Bezpieczeństwem Informacji (SZBI) zgodnego z normą PN-EN ISO/IEC 27001:2023-06 w Urzędzie Gminy w Sadowiu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System ma obejmować całość procesów związanych z zarządzaniem bezpieczeństwem informacji, w tym ochronę danych osobowych, informacji niejawnych i poufnych oraz zasobów IT w strukturach organizacyjnych Zamawiającego. Gmina posiada Instrukcję Zarządzania Systemem Teleinformatycznym w Urzędzie Gminy.</w:t>
      </w:r>
    </w:p>
    <w:p w:rsidR="0080672C" w:rsidRPr="0080672C" w:rsidRDefault="0080672C" w:rsidP="000F541D">
      <w:pPr>
        <w:numPr>
          <w:ilvl w:val="0"/>
          <w:numId w:val="5"/>
        </w:numPr>
        <w:rPr>
          <w:b/>
          <w:bCs/>
        </w:rPr>
      </w:pPr>
      <w:r w:rsidRPr="0080672C">
        <w:rPr>
          <w:b/>
          <w:bCs/>
        </w:rPr>
        <w:t>Cel zamówienia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Celem zamówienia jest:</w:t>
      </w:r>
    </w:p>
    <w:p w:rsidR="0080672C" w:rsidRPr="0080672C" w:rsidRDefault="0080672C" w:rsidP="000F541D">
      <w:pPr>
        <w:numPr>
          <w:ilvl w:val="0"/>
          <w:numId w:val="6"/>
        </w:numPr>
        <w:rPr>
          <w:b/>
          <w:bCs/>
        </w:rPr>
      </w:pPr>
      <w:r w:rsidRPr="0080672C">
        <w:rPr>
          <w:b/>
          <w:bCs/>
        </w:rPr>
        <w:t>zapewnienie zgodności z aktualnymi przepisami prawa polskiego i unijnego, w szczególności RODO, Dyrektywą NIS2 oraz ustawą o krajowym systemie cyberbezpieczeństwa (KSC),</w:t>
      </w:r>
    </w:p>
    <w:p w:rsidR="0080672C" w:rsidRPr="0080672C" w:rsidRDefault="0080672C" w:rsidP="000F541D">
      <w:pPr>
        <w:numPr>
          <w:ilvl w:val="0"/>
          <w:numId w:val="6"/>
        </w:numPr>
        <w:rPr>
          <w:b/>
          <w:bCs/>
        </w:rPr>
      </w:pPr>
      <w:r w:rsidRPr="0080672C">
        <w:rPr>
          <w:b/>
          <w:bCs/>
        </w:rPr>
        <w:t>podniesienie poziomu bezpieczeństwa informacji i danych w urzędzie i jednostkach podległych,</w:t>
      </w:r>
    </w:p>
    <w:p w:rsidR="0080672C" w:rsidRPr="0080672C" w:rsidRDefault="0080672C" w:rsidP="000F541D">
      <w:pPr>
        <w:numPr>
          <w:ilvl w:val="0"/>
          <w:numId w:val="6"/>
        </w:numPr>
        <w:rPr>
          <w:b/>
          <w:bCs/>
        </w:rPr>
      </w:pPr>
      <w:r w:rsidRPr="0080672C">
        <w:rPr>
          <w:b/>
          <w:bCs/>
        </w:rPr>
        <w:t>przygotowanie organizacji do ewentualnej certyfikacji zgodnej z normą ISO/IEC 27001,</w:t>
      </w:r>
    </w:p>
    <w:p w:rsidR="0080672C" w:rsidRPr="0080672C" w:rsidRDefault="0080672C" w:rsidP="000F541D">
      <w:pPr>
        <w:numPr>
          <w:ilvl w:val="0"/>
          <w:numId w:val="6"/>
        </w:numPr>
        <w:rPr>
          <w:b/>
          <w:bCs/>
        </w:rPr>
      </w:pPr>
      <w:r w:rsidRPr="0080672C">
        <w:rPr>
          <w:b/>
          <w:bCs/>
        </w:rPr>
        <w:t>ujednolicenie zasad ochrony informacji w całej strukturze gminy.</w:t>
      </w:r>
    </w:p>
    <w:p w:rsidR="0080672C" w:rsidRPr="0080672C" w:rsidRDefault="0080672C" w:rsidP="000F541D">
      <w:pPr>
        <w:numPr>
          <w:ilvl w:val="0"/>
          <w:numId w:val="5"/>
        </w:numPr>
        <w:rPr>
          <w:b/>
          <w:bCs/>
        </w:rPr>
      </w:pPr>
      <w:r w:rsidRPr="0080672C">
        <w:rPr>
          <w:b/>
          <w:bCs/>
        </w:rPr>
        <w:t>Zakres opracowania i wdrożenia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Etap I – Analiza i przygotowanie dokumentacji</w:t>
      </w:r>
    </w:p>
    <w:p w:rsidR="0080672C" w:rsidRPr="0080672C" w:rsidRDefault="0080672C" w:rsidP="000F541D">
      <w:pPr>
        <w:numPr>
          <w:ilvl w:val="0"/>
          <w:numId w:val="7"/>
        </w:numPr>
        <w:rPr>
          <w:b/>
          <w:bCs/>
        </w:rPr>
      </w:pPr>
      <w:r w:rsidRPr="0080672C">
        <w:rPr>
          <w:b/>
          <w:bCs/>
        </w:rPr>
        <w:t>Analiza aktualnego stanu bezpieczeństwa informacji w urzędzie.</w:t>
      </w:r>
    </w:p>
    <w:p w:rsidR="0080672C" w:rsidRPr="0080672C" w:rsidRDefault="0080672C" w:rsidP="000F541D">
      <w:pPr>
        <w:numPr>
          <w:ilvl w:val="0"/>
          <w:numId w:val="7"/>
        </w:numPr>
        <w:rPr>
          <w:b/>
          <w:bCs/>
        </w:rPr>
      </w:pPr>
      <w:r w:rsidRPr="0080672C">
        <w:rPr>
          <w:b/>
          <w:bCs/>
        </w:rPr>
        <w:t>Identyfikacja zasobów informacyjnych i procesów przetwarzania danych.</w:t>
      </w:r>
    </w:p>
    <w:p w:rsidR="0080672C" w:rsidRPr="0080672C" w:rsidRDefault="0080672C" w:rsidP="000F541D">
      <w:pPr>
        <w:numPr>
          <w:ilvl w:val="0"/>
          <w:numId w:val="7"/>
        </w:numPr>
        <w:rPr>
          <w:b/>
          <w:bCs/>
        </w:rPr>
      </w:pPr>
      <w:r w:rsidRPr="0080672C">
        <w:rPr>
          <w:b/>
          <w:bCs/>
        </w:rPr>
        <w:t>Opracowanie pełnego zestawu dokumentów SZBI, w tym: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Polityki Bezpieczeństwa Informacji,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Polityki ochrony danych osobowych,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Procedur nadawania i odbierania uprawnień,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Procedury zarządzania incydentami bezpieczeństwa,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Instrukcji zarządzania infrastrukturą IT,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Procedury postępowania z dyskami twardymi wycofanymi z użytku,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Rejestru aktywów informacyjnych i klasyfikacji informacji,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Analizy i oceny ryzyka,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Planu postępowania z ryzykiem,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Planów ciągłości działania (BCP) i odtwarzania po awarii (DRP),</w:t>
      </w:r>
    </w:p>
    <w:p w:rsidR="0080672C" w:rsidRPr="0080672C" w:rsidRDefault="0080672C" w:rsidP="000F541D">
      <w:pPr>
        <w:numPr>
          <w:ilvl w:val="1"/>
          <w:numId w:val="8"/>
        </w:numPr>
        <w:rPr>
          <w:b/>
          <w:bCs/>
        </w:rPr>
      </w:pPr>
      <w:r w:rsidRPr="0080672C">
        <w:rPr>
          <w:b/>
          <w:bCs/>
        </w:rPr>
        <w:t>Procedur szkoleń i podnoszenia świadomości użytkowników.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Etap II – Wdrożenie systemu</w:t>
      </w:r>
    </w:p>
    <w:p w:rsidR="0080672C" w:rsidRPr="0080672C" w:rsidRDefault="0080672C" w:rsidP="000F541D">
      <w:pPr>
        <w:numPr>
          <w:ilvl w:val="0"/>
          <w:numId w:val="9"/>
        </w:numPr>
        <w:rPr>
          <w:b/>
          <w:bCs/>
        </w:rPr>
      </w:pPr>
      <w:r w:rsidRPr="0080672C">
        <w:rPr>
          <w:b/>
          <w:bCs/>
        </w:rPr>
        <w:t>Przeprowadzenie warsztatów z kierownictwem i personelem urzędu oraz jednostek.</w:t>
      </w:r>
    </w:p>
    <w:p w:rsidR="0080672C" w:rsidRPr="0080672C" w:rsidRDefault="0080672C" w:rsidP="000F541D">
      <w:pPr>
        <w:numPr>
          <w:ilvl w:val="0"/>
          <w:numId w:val="9"/>
        </w:numPr>
        <w:rPr>
          <w:b/>
          <w:bCs/>
        </w:rPr>
      </w:pPr>
      <w:r w:rsidRPr="0080672C">
        <w:rPr>
          <w:b/>
          <w:bCs/>
        </w:rPr>
        <w:t>Dostosowanie dokumentów do specyfiki każdej jednostki.</w:t>
      </w:r>
    </w:p>
    <w:p w:rsidR="0080672C" w:rsidRPr="0080672C" w:rsidRDefault="0080672C" w:rsidP="000F541D">
      <w:pPr>
        <w:numPr>
          <w:ilvl w:val="0"/>
          <w:numId w:val="9"/>
        </w:numPr>
        <w:rPr>
          <w:b/>
          <w:bCs/>
        </w:rPr>
      </w:pPr>
      <w:r w:rsidRPr="0080672C">
        <w:rPr>
          <w:b/>
          <w:bCs/>
        </w:rPr>
        <w:t>Wdrożenie procedur operacyjnych i systemowych w zakresie SZBI.</w:t>
      </w:r>
    </w:p>
    <w:p w:rsidR="0080672C" w:rsidRPr="0080672C" w:rsidRDefault="0080672C" w:rsidP="000F541D">
      <w:pPr>
        <w:numPr>
          <w:ilvl w:val="0"/>
          <w:numId w:val="9"/>
        </w:numPr>
        <w:rPr>
          <w:b/>
          <w:bCs/>
        </w:rPr>
      </w:pPr>
      <w:r w:rsidRPr="0080672C">
        <w:rPr>
          <w:b/>
          <w:bCs/>
        </w:rPr>
        <w:t>Wdrożenie rejestrów, formularzy i ewidencji wymaganych przepisami prawa.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Etap III – Audyt wdrożenia</w:t>
      </w:r>
    </w:p>
    <w:p w:rsidR="0080672C" w:rsidRPr="0080672C" w:rsidRDefault="0080672C" w:rsidP="000F541D">
      <w:pPr>
        <w:numPr>
          <w:ilvl w:val="0"/>
          <w:numId w:val="10"/>
        </w:numPr>
        <w:rPr>
          <w:b/>
          <w:bCs/>
        </w:rPr>
      </w:pPr>
      <w:r w:rsidRPr="0080672C">
        <w:rPr>
          <w:b/>
          <w:bCs/>
        </w:rPr>
        <w:t>Przeprowadzenie wewnętrznego audytu funkcjonowania SZBI.</w:t>
      </w:r>
    </w:p>
    <w:p w:rsidR="0080672C" w:rsidRPr="0080672C" w:rsidRDefault="0080672C" w:rsidP="000F541D">
      <w:pPr>
        <w:numPr>
          <w:ilvl w:val="0"/>
          <w:numId w:val="10"/>
        </w:numPr>
        <w:rPr>
          <w:b/>
          <w:bCs/>
        </w:rPr>
      </w:pPr>
      <w:r w:rsidRPr="0080672C">
        <w:rPr>
          <w:b/>
          <w:bCs/>
        </w:rPr>
        <w:t>Sporządzenie raportu końcowego z rekomendacjami dla Zamawiającego.</w:t>
      </w:r>
    </w:p>
    <w:p w:rsidR="0080672C" w:rsidRPr="0080672C" w:rsidRDefault="0080672C" w:rsidP="0080672C">
      <w:pPr>
        <w:rPr>
          <w:b/>
          <w:bCs/>
        </w:rPr>
      </w:pPr>
    </w:p>
    <w:p w:rsidR="0080672C" w:rsidRPr="0080672C" w:rsidRDefault="0080672C" w:rsidP="000F541D">
      <w:pPr>
        <w:numPr>
          <w:ilvl w:val="0"/>
          <w:numId w:val="5"/>
        </w:numPr>
        <w:rPr>
          <w:b/>
          <w:bCs/>
        </w:rPr>
      </w:pPr>
      <w:r w:rsidRPr="0080672C">
        <w:rPr>
          <w:b/>
          <w:bCs/>
        </w:rPr>
        <w:t>Wymagania wobec wykonawcy</w:t>
      </w:r>
    </w:p>
    <w:p w:rsidR="0080672C" w:rsidRPr="0080672C" w:rsidRDefault="0080672C" w:rsidP="000F541D">
      <w:pPr>
        <w:numPr>
          <w:ilvl w:val="0"/>
          <w:numId w:val="11"/>
        </w:numPr>
        <w:rPr>
          <w:b/>
          <w:bCs/>
        </w:rPr>
      </w:pPr>
      <w:bookmarkStart w:id="3" w:name="_Hlk225841264"/>
      <w:r w:rsidRPr="0080672C">
        <w:rPr>
          <w:b/>
          <w:bCs/>
        </w:rPr>
        <w:t>Wykonawca musi posiadać 2-letnie doświadczenie w opracowywaniu i wdrażaniu SZBI w administracji publicznej.</w:t>
      </w:r>
    </w:p>
    <w:bookmarkEnd w:id="3"/>
    <w:p w:rsidR="0080672C" w:rsidRPr="0080672C" w:rsidRDefault="0080672C" w:rsidP="000F541D">
      <w:pPr>
        <w:numPr>
          <w:ilvl w:val="0"/>
          <w:numId w:val="11"/>
        </w:numPr>
        <w:rPr>
          <w:b/>
          <w:bCs/>
        </w:rPr>
      </w:pPr>
      <w:r w:rsidRPr="0080672C">
        <w:rPr>
          <w:b/>
          <w:bCs/>
        </w:rPr>
        <w:t>Wskazanie osoby odpowiedzialnej za realizację projektu (kierownika projektu).</w:t>
      </w:r>
    </w:p>
    <w:p w:rsidR="0080672C" w:rsidRPr="0080672C" w:rsidRDefault="0080672C" w:rsidP="000F541D">
      <w:pPr>
        <w:numPr>
          <w:ilvl w:val="0"/>
          <w:numId w:val="11"/>
        </w:numPr>
        <w:rPr>
          <w:b/>
          <w:bCs/>
        </w:rPr>
      </w:pPr>
      <w:r w:rsidRPr="0080672C">
        <w:rPr>
          <w:b/>
          <w:bCs/>
        </w:rPr>
        <w:t>Zapewnienie współpracy z Inspektorem Ochrony Danych (IOD) oraz administratorami IT.</w:t>
      </w:r>
    </w:p>
    <w:p w:rsidR="0080672C" w:rsidRPr="0080672C" w:rsidRDefault="0080672C" w:rsidP="000F541D">
      <w:pPr>
        <w:numPr>
          <w:ilvl w:val="0"/>
          <w:numId w:val="11"/>
        </w:numPr>
        <w:rPr>
          <w:b/>
          <w:bCs/>
        </w:rPr>
      </w:pPr>
      <w:r w:rsidRPr="0080672C">
        <w:rPr>
          <w:b/>
          <w:bCs/>
        </w:rPr>
        <w:t>Opracowanie dokumentacji w wersji elektronicznej (edytowalnej) oraz papierowej.</w:t>
      </w:r>
    </w:p>
    <w:p w:rsidR="0080672C" w:rsidRPr="0080672C" w:rsidRDefault="0080672C" w:rsidP="000F541D">
      <w:pPr>
        <w:numPr>
          <w:ilvl w:val="0"/>
          <w:numId w:val="5"/>
        </w:numPr>
        <w:rPr>
          <w:b/>
          <w:bCs/>
        </w:rPr>
      </w:pPr>
      <w:r w:rsidRPr="0080672C">
        <w:rPr>
          <w:b/>
          <w:bCs/>
        </w:rPr>
        <w:t>Wymagania formalne i prawne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Przy opracowaniu dokumentacji należy uwzględnić następujące akty prawne i normy: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>PN-EN ISO/IEC 27001:2023-06,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>PN-EN ISO/IEC 27002:2022-08,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>Rozporządzenie (UE) 2016/679 (RODO),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>Dyrektywa NIS2 (UE) 2022/2555,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>Ustawa z dnia 5 lipca 2018 r. o krajowym systemie cyberbezpieczeństwa,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 xml:space="preserve">Ustawa o ochronie danych osobowych (tj. Dz.U. z 2019 poz. 1781 z </w:t>
      </w:r>
      <w:proofErr w:type="spellStart"/>
      <w:r w:rsidRPr="0080672C">
        <w:rPr>
          <w:b/>
          <w:bCs/>
        </w:rPr>
        <w:t>późn</w:t>
      </w:r>
      <w:proofErr w:type="spellEnd"/>
      <w:r w:rsidRPr="0080672C">
        <w:rPr>
          <w:b/>
          <w:bCs/>
        </w:rPr>
        <w:t>. zm.),</w:t>
      </w:r>
    </w:p>
    <w:p w:rsidR="0080672C" w:rsidRPr="0080672C" w:rsidRDefault="0080672C" w:rsidP="000F541D">
      <w:pPr>
        <w:numPr>
          <w:ilvl w:val="0"/>
          <w:numId w:val="12"/>
        </w:numPr>
        <w:rPr>
          <w:b/>
          <w:bCs/>
        </w:rPr>
      </w:pPr>
      <w:r w:rsidRPr="0080672C">
        <w:rPr>
          <w:b/>
          <w:bCs/>
        </w:rPr>
        <w:t>Kodeks pracy i ustawa o samorządzie gminnym w zakresie obowiązków ochrony danych i informacji.</w:t>
      </w:r>
    </w:p>
    <w:p w:rsidR="0080672C" w:rsidRPr="0080672C" w:rsidRDefault="0080672C" w:rsidP="000F541D">
      <w:pPr>
        <w:numPr>
          <w:ilvl w:val="0"/>
          <w:numId w:val="5"/>
        </w:numPr>
        <w:rPr>
          <w:b/>
          <w:bCs/>
        </w:rPr>
      </w:pPr>
      <w:r w:rsidRPr="0080672C">
        <w:rPr>
          <w:b/>
          <w:bCs/>
        </w:rPr>
        <w:t>Efekt końcowy realizacji zamówienia</w:t>
      </w:r>
    </w:p>
    <w:p w:rsidR="0080672C" w:rsidRPr="0080672C" w:rsidRDefault="0080672C" w:rsidP="0080672C">
      <w:pPr>
        <w:rPr>
          <w:b/>
          <w:bCs/>
        </w:rPr>
      </w:pPr>
      <w:r w:rsidRPr="0080672C">
        <w:rPr>
          <w:b/>
          <w:bCs/>
        </w:rPr>
        <w:t>Rezultatem wykonania zamówienia będzie:</w:t>
      </w:r>
    </w:p>
    <w:p w:rsidR="0080672C" w:rsidRPr="0080672C" w:rsidRDefault="0080672C" w:rsidP="000F541D">
      <w:pPr>
        <w:numPr>
          <w:ilvl w:val="0"/>
          <w:numId w:val="13"/>
        </w:numPr>
        <w:rPr>
          <w:b/>
          <w:bCs/>
        </w:rPr>
      </w:pPr>
      <w:r w:rsidRPr="0080672C">
        <w:rPr>
          <w:b/>
          <w:bCs/>
        </w:rPr>
        <w:t>kompletny zestaw dokumentacji SZBI dla Urzędu Gminy,</w:t>
      </w:r>
    </w:p>
    <w:p w:rsidR="0080672C" w:rsidRPr="0080672C" w:rsidRDefault="0080672C" w:rsidP="000F541D">
      <w:pPr>
        <w:numPr>
          <w:ilvl w:val="0"/>
          <w:numId w:val="13"/>
        </w:numPr>
        <w:rPr>
          <w:b/>
          <w:bCs/>
        </w:rPr>
      </w:pPr>
      <w:r w:rsidRPr="0080672C">
        <w:rPr>
          <w:b/>
          <w:bCs/>
        </w:rPr>
        <w:t>wdrożenie procedur i systemu zarządzania bezpieczeństwem informacji,</w:t>
      </w:r>
    </w:p>
    <w:p w:rsidR="0080672C" w:rsidRPr="0080672C" w:rsidRDefault="0080672C" w:rsidP="000F541D">
      <w:pPr>
        <w:numPr>
          <w:ilvl w:val="0"/>
          <w:numId w:val="13"/>
        </w:numPr>
        <w:rPr>
          <w:b/>
          <w:bCs/>
        </w:rPr>
      </w:pPr>
      <w:r w:rsidRPr="0080672C">
        <w:rPr>
          <w:b/>
          <w:bCs/>
        </w:rPr>
        <w:t>raport końcowy z wdrożenia wraz z zaleceniami do certyfikacji.</w:t>
      </w:r>
    </w:p>
    <w:p w:rsidR="0080672C" w:rsidRPr="0097793D" w:rsidRDefault="0080672C" w:rsidP="0097793D">
      <w:pPr>
        <w:numPr>
          <w:ilvl w:val="0"/>
          <w:numId w:val="13"/>
        </w:numPr>
        <w:rPr>
          <w:b/>
          <w:bCs/>
        </w:rPr>
      </w:pPr>
      <w:bookmarkStart w:id="4" w:name="_Hlk218865979"/>
      <w:bookmarkEnd w:id="2"/>
      <w:r w:rsidRPr="0080672C">
        <w:rPr>
          <w:b/>
          <w:bCs/>
        </w:rPr>
        <w:t>Harmonogram zostanie uzgodniony z Zamawiającym po podpisaniu umowy.</w:t>
      </w:r>
      <w:bookmarkEnd w:id="4"/>
    </w:p>
    <w:sectPr w:rsidR="0080672C" w:rsidRPr="0097793D" w:rsidSect="00E86F4A">
      <w:headerReference w:type="default" r:id="rId7"/>
      <w:footerReference w:type="default" r:id="rId8"/>
      <w:pgSz w:w="11906" w:h="16838"/>
      <w:pgMar w:top="1417" w:right="1417" w:bottom="1417" w:left="1417" w:header="708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1AF" w:rsidRDefault="00C941AF" w:rsidP="00E86F4A">
      <w:pPr>
        <w:spacing w:after="0" w:line="240" w:lineRule="auto"/>
      </w:pPr>
      <w:r>
        <w:separator/>
      </w:r>
    </w:p>
  </w:endnote>
  <w:endnote w:type="continuationSeparator" w:id="0">
    <w:p w:rsidR="00C941AF" w:rsidRDefault="00C941AF" w:rsidP="00E86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9o00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F4A" w:rsidRDefault="00E86F4A" w:rsidP="00E86F4A">
    <w:pPr>
      <w:tabs>
        <w:tab w:val="center" w:pos="4536"/>
        <w:tab w:val="right" w:pos="9072"/>
      </w:tabs>
      <w:spacing w:after="0" w:line="240" w:lineRule="auto"/>
      <w:rPr>
        <w:rFonts w:cs="Times New Roman"/>
        <w:sz w:val="16"/>
        <w:szCs w:val="16"/>
      </w:rPr>
    </w:pPr>
  </w:p>
  <w:p w:rsidR="00E86F4A" w:rsidRDefault="00E86F4A" w:rsidP="00E86F4A">
    <w:pPr>
      <w:tabs>
        <w:tab w:val="center" w:pos="4536"/>
        <w:tab w:val="right" w:pos="9072"/>
      </w:tabs>
      <w:spacing w:after="0" w:line="240" w:lineRule="auto"/>
      <w:rPr>
        <w:rFonts w:cs="Times New Roman"/>
        <w:sz w:val="16"/>
        <w:szCs w:val="16"/>
      </w:rPr>
    </w:pPr>
  </w:p>
  <w:p w:rsidR="00E86F4A" w:rsidRPr="00114DA4" w:rsidRDefault="00E86F4A" w:rsidP="00E86F4A">
    <w:pPr>
      <w:tabs>
        <w:tab w:val="center" w:pos="4536"/>
        <w:tab w:val="right" w:pos="9072"/>
      </w:tabs>
      <w:spacing w:after="0" w:line="240" w:lineRule="auto"/>
      <w:rPr>
        <w:rFonts w:cs="Times New Roman"/>
      </w:rPr>
    </w:pPr>
    <w:r>
      <w:rPr>
        <w:rFonts w:cs="Times New Roman"/>
        <w:sz w:val="16"/>
        <w:szCs w:val="16"/>
      </w:rPr>
      <w:t xml:space="preserve">Projekt współfinansowany </w:t>
    </w:r>
    <w:bookmarkStart w:id="10" w:name="_Hlk175202330"/>
    <w:r>
      <w:rPr>
        <w:rFonts w:cs="Times New Roman"/>
        <w:sz w:val="16"/>
        <w:szCs w:val="16"/>
      </w:rPr>
      <w:t xml:space="preserve">z </w:t>
    </w:r>
    <w:bookmarkStart w:id="11" w:name="_Hlk175137362"/>
    <w:r>
      <w:rPr>
        <w:rFonts w:cs="Times New Roman"/>
        <w:sz w:val="16"/>
        <w:szCs w:val="16"/>
      </w:rPr>
      <w:t xml:space="preserve">Funduszy Europejskich na Rozwój Cyfrowy 2021-2027 (FERC), Priorytet II: Zaawansowane usługi cyfrowe Działanie 2.2 Wzmocnienie krajowego systemu </w:t>
    </w:r>
    <w:proofErr w:type="spellStart"/>
    <w:r>
      <w:rPr>
        <w:rFonts w:cs="Times New Roman"/>
        <w:sz w:val="16"/>
        <w:szCs w:val="16"/>
      </w:rPr>
      <w:t>cyberbezpieczeństwa</w:t>
    </w:r>
    <w:bookmarkEnd w:id="10"/>
    <w:bookmarkEnd w:id="11"/>
    <w:proofErr w:type="spellEnd"/>
    <w:r>
      <w:rPr>
        <w:rFonts w:cs="Times New Roman"/>
        <w:sz w:val="16"/>
        <w:szCs w:val="16"/>
      </w:rPr>
      <w:t>, konkurs grantowy w ramach Projektu grantowego „</w:t>
    </w:r>
    <w:proofErr w:type="spellStart"/>
    <w:r>
      <w:rPr>
        <w:rFonts w:cs="Times New Roman"/>
        <w:sz w:val="16"/>
        <w:szCs w:val="16"/>
      </w:rPr>
      <w:t>Cyberbezpieczny</w:t>
    </w:r>
    <w:proofErr w:type="spellEnd"/>
    <w:r>
      <w:rPr>
        <w:rFonts w:cs="Times New Roman"/>
        <w:sz w:val="16"/>
        <w:szCs w:val="16"/>
      </w:rPr>
      <w:t xml:space="preserve"> Samorząd” o numerze FERC.02.02-CS.01-001/23</w:t>
    </w:r>
  </w:p>
  <w:p w:rsidR="00E86F4A" w:rsidRDefault="00E86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1AF" w:rsidRDefault="00C941AF" w:rsidP="00E86F4A">
      <w:pPr>
        <w:spacing w:after="0" w:line="240" w:lineRule="auto"/>
      </w:pPr>
      <w:r>
        <w:separator/>
      </w:r>
    </w:p>
  </w:footnote>
  <w:footnote w:type="continuationSeparator" w:id="0">
    <w:p w:rsidR="00C941AF" w:rsidRDefault="00C941AF" w:rsidP="00E86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F4A" w:rsidRDefault="00E86F4A">
    <w:pPr>
      <w:pStyle w:val="Nagwek"/>
    </w:pPr>
    <w:bookmarkStart w:id="5" w:name="_Hlk530999824"/>
    <w:bookmarkStart w:id="6" w:name="_Hlk530999927"/>
    <w:bookmarkStart w:id="7" w:name="_Hlk530999928"/>
    <w:bookmarkStart w:id="8" w:name="_Hlk530999941"/>
    <w:bookmarkStart w:id="9" w:name="_Hlk530999942"/>
    <w:r w:rsidRPr="001F35F1">
      <w:rPr>
        <w:noProof/>
        <w:lang w:eastAsia="pl-PL"/>
      </w:rPr>
      <w:drawing>
        <wp:inline distT="0" distB="0" distL="0" distR="0" wp14:anchorId="08B6F16F" wp14:editId="6D58F528">
          <wp:extent cx="5753100" cy="59690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  <w:bookmarkEnd w:id="6"/>
    <w:bookmarkEnd w:id="7"/>
    <w:bookmarkEnd w:id="8"/>
    <w:bookmarkEnd w:id="9"/>
  </w:p>
  <w:p w:rsidR="00E86F4A" w:rsidRDefault="00E86F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9BC"/>
    <w:multiLevelType w:val="hybridMultilevel"/>
    <w:tmpl w:val="54781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1A92"/>
    <w:multiLevelType w:val="hybridMultilevel"/>
    <w:tmpl w:val="03D09C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AF7"/>
    <w:multiLevelType w:val="hybridMultilevel"/>
    <w:tmpl w:val="E594F9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F84AC9"/>
    <w:multiLevelType w:val="hybridMultilevel"/>
    <w:tmpl w:val="8B0006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550B7E"/>
    <w:multiLevelType w:val="multilevel"/>
    <w:tmpl w:val="843422A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3E576D"/>
    <w:multiLevelType w:val="multilevel"/>
    <w:tmpl w:val="02ACB8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CF419F"/>
    <w:multiLevelType w:val="hybridMultilevel"/>
    <w:tmpl w:val="5A32C5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A3F2C"/>
    <w:multiLevelType w:val="multilevel"/>
    <w:tmpl w:val="8810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2B6542"/>
    <w:multiLevelType w:val="hybridMultilevel"/>
    <w:tmpl w:val="D9DE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930DC"/>
    <w:multiLevelType w:val="hybridMultilevel"/>
    <w:tmpl w:val="6C7092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A6CF0"/>
    <w:multiLevelType w:val="multilevel"/>
    <w:tmpl w:val="F402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333D61"/>
    <w:multiLevelType w:val="hybridMultilevel"/>
    <w:tmpl w:val="E1AABC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5786C"/>
    <w:multiLevelType w:val="hybridMultilevel"/>
    <w:tmpl w:val="29AAA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D69FF"/>
    <w:multiLevelType w:val="multilevel"/>
    <w:tmpl w:val="2F8A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C57CAB"/>
    <w:multiLevelType w:val="multilevel"/>
    <w:tmpl w:val="73AE6B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576086"/>
    <w:multiLevelType w:val="multilevel"/>
    <w:tmpl w:val="EB9C5E1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8F027B"/>
    <w:multiLevelType w:val="multilevel"/>
    <w:tmpl w:val="AC0CC21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B94941"/>
    <w:multiLevelType w:val="hybridMultilevel"/>
    <w:tmpl w:val="E848B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A0064E"/>
    <w:multiLevelType w:val="hybridMultilevel"/>
    <w:tmpl w:val="04F6B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B6894"/>
    <w:multiLevelType w:val="hybridMultilevel"/>
    <w:tmpl w:val="70EA2A12"/>
    <w:lvl w:ilvl="0" w:tplc="ACCED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DAC0DC6"/>
    <w:multiLevelType w:val="hybridMultilevel"/>
    <w:tmpl w:val="5C849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CCED90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45AEC"/>
    <w:multiLevelType w:val="multilevel"/>
    <w:tmpl w:val="30C0B7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8231CE"/>
    <w:multiLevelType w:val="hybridMultilevel"/>
    <w:tmpl w:val="A15A7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50829"/>
    <w:multiLevelType w:val="hybridMultilevel"/>
    <w:tmpl w:val="89D63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A6CBE"/>
    <w:multiLevelType w:val="multilevel"/>
    <w:tmpl w:val="B95C7E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EB7A70"/>
    <w:multiLevelType w:val="multilevel"/>
    <w:tmpl w:val="E550EB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32130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9262623"/>
    <w:multiLevelType w:val="multilevel"/>
    <w:tmpl w:val="843422A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E3D6801"/>
    <w:multiLevelType w:val="multilevel"/>
    <w:tmpl w:val="541C4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322B9"/>
    <w:multiLevelType w:val="hybridMultilevel"/>
    <w:tmpl w:val="8DE283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2065F"/>
    <w:multiLevelType w:val="multilevel"/>
    <w:tmpl w:val="657A92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5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8"/>
  </w:num>
  <w:num w:numId="13">
    <w:abstractNumId w:val="7"/>
  </w:num>
  <w:num w:numId="14">
    <w:abstractNumId w:val="6"/>
  </w:num>
  <w:num w:numId="15">
    <w:abstractNumId w:val="11"/>
  </w:num>
  <w:num w:numId="16">
    <w:abstractNumId w:val="9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9"/>
  </w:num>
  <w:num w:numId="20">
    <w:abstractNumId w:val="23"/>
  </w:num>
  <w:num w:numId="21">
    <w:abstractNumId w:val="18"/>
  </w:num>
  <w:num w:numId="22">
    <w:abstractNumId w:val="8"/>
  </w:num>
  <w:num w:numId="23">
    <w:abstractNumId w:val="26"/>
  </w:num>
  <w:num w:numId="24">
    <w:abstractNumId w:val="20"/>
  </w:num>
  <w:num w:numId="25">
    <w:abstractNumId w:val="12"/>
  </w:num>
  <w:num w:numId="26">
    <w:abstractNumId w:val="1"/>
  </w:num>
  <w:num w:numId="27">
    <w:abstractNumId w:val="3"/>
  </w:num>
  <w:num w:numId="28">
    <w:abstractNumId w:val="2"/>
  </w:num>
  <w:num w:numId="29">
    <w:abstractNumId w:val="4"/>
  </w:num>
  <w:num w:numId="30">
    <w:abstractNumId w:val="0"/>
  </w:num>
  <w:num w:numId="31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1C4"/>
    <w:rsid w:val="00090C84"/>
    <w:rsid w:val="000F541D"/>
    <w:rsid w:val="00140DB3"/>
    <w:rsid w:val="001425C0"/>
    <w:rsid w:val="001531A5"/>
    <w:rsid w:val="001C58A8"/>
    <w:rsid w:val="001D48B6"/>
    <w:rsid w:val="002A0641"/>
    <w:rsid w:val="00371390"/>
    <w:rsid w:val="003C6ADD"/>
    <w:rsid w:val="004F25A3"/>
    <w:rsid w:val="005B136C"/>
    <w:rsid w:val="0073753F"/>
    <w:rsid w:val="0080672C"/>
    <w:rsid w:val="00872901"/>
    <w:rsid w:val="0097793D"/>
    <w:rsid w:val="00A14874"/>
    <w:rsid w:val="00AE5DFB"/>
    <w:rsid w:val="00B631B9"/>
    <w:rsid w:val="00B800A2"/>
    <w:rsid w:val="00C941AF"/>
    <w:rsid w:val="00D2009A"/>
    <w:rsid w:val="00D46766"/>
    <w:rsid w:val="00E86F4A"/>
    <w:rsid w:val="00F401C4"/>
    <w:rsid w:val="00F54094"/>
    <w:rsid w:val="00F7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2C7C87"/>
  <w15:chartTrackingRefBased/>
  <w15:docId w15:val="{ECC2495C-6B31-4990-8C52-71E0EE35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01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01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01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01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01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01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01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01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01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0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0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0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0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0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0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0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0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0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0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0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01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0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01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01C4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Odstavec,Podsis rysunku,ISCG Numerowanie,Akapit z listą1"/>
    <w:basedOn w:val="Normalny"/>
    <w:link w:val="AkapitzlistZnak"/>
    <w:uiPriority w:val="34"/>
    <w:qFormat/>
    <w:rsid w:val="00F401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0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0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0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01C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40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01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86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6F4A"/>
  </w:style>
  <w:style w:type="paragraph" w:styleId="Stopka">
    <w:name w:val="footer"/>
    <w:basedOn w:val="Normalny"/>
    <w:link w:val="StopkaZnak"/>
    <w:uiPriority w:val="99"/>
    <w:unhideWhenUsed/>
    <w:rsid w:val="00E86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6F4A"/>
  </w:style>
  <w:style w:type="paragraph" w:customStyle="1" w:styleId="Standard">
    <w:name w:val="Standard"/>
    <w:qFormat/>
    <w:rsid w:val="00D467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"/>
    <w:uiPriority w:val="34"/>
    <w:qFormat/>
    <w:locked/>
    <w:rsid w:val="00D46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8091</Words>
  <Characters>48550</Characters>
  <Application>Microsoft Office Word</Application>
  <DocSecurity>0</DocSecurity>
  <Lines>404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Kasprzyk</dc:creator>
  <cp:keywords/>
  <dc:description/>
  <cp:lastModifiedBy>Użytkownik systemu Windows</cp:lastModifiedBy>
  <cp:revision>3</cp:revision>
  <dcterms:created xsi:type="dcterms:W3CDTF">2026-03-31T07:25:00Z</dcterms:created>
  <dcterms:modified xsi:type="dcterms:W3CDTF">2026-04-01T08:53:00Z</dcterms:modified>
</cp:coreProperties>
</file>